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CF8E9B" w14:textId="77777777" w:rsidR="00C65D8A" w:rsidRPr="00C65D8A" w:rsidRDefault="00C65D8A" w:rsidP="00C65D8A">
      <w:pPr>
        <w:shd w:val="clear" w:color="auto" w:fill="FFFFFF"/>
        <w:spacing w:before="100" w:beforeAutospacing="1" w:after="100" w:afterAutospacing="1" w:line="240" w:lineRule="auto"/>
        <w:outlineLvl w:val="0"/>
        <w:rPr>
          <w:rFonts w:ascii="Helvetica" w:eastAsia="Times New Roman" w:hAnsi="Helvetica" w:cs="Helvetica"/>
          <w:b/>
          <w:bCs/>
          <w:color w:val="3F3F3F"/>
          <w:kern w:val="36"/>
          <w:sz w:val="35"/>
          <w:szCs w:val="35"/>
        </w:rPr>
      </w:pPr>
      <w:r w:rsidRPr="00C65D8A">
        <w:rPr>
          <w:rFonts w:ascii="Helvetica" w:eastAsia="Times New Roman" w:hAnsi="Helvetica" w:cs="Helvetica"/>
          <w:b/>
          <w:bCs/>
          <w:color w:val="3F3F3F"/>
          <w:kern w:val="36"/>
          <w:sz w:val="35"/>
          <w:szCs w:val="35"/>
        </w:rPr>
        <w:t>15-1 Introduction</w:t>
      </w:r>
    </w:p>
    <w:p w14:paraId="1A9EA282" w14:textId="77777777" w:rsidR="00C65D8A" w:rsidRPr="00C65D8A" w:rsidRDefault="00C65D8A" w:rsidP="00C65D8A">
      <w:pPr>
        <w:shd w:val="clear" w:color="auto" w:fill="FFFFFF"/>
        <w:spacing w:after="225" w:line="240" w:lineRule="auto"/>
        <w:rPr>
          <w:rFonts w:ascii="Helvetica" w:eastAsia="Times New Roman" w:hAnsi="Helvetica" w:cs="Helvetica"/>
          <w:color w:val="3F3F3F"/>
          <w:sz w:val="23"/>
          <w:szCs w:val="23"/>
        </w:rPr>
      </w:pPr>
      <w:r w:rsidRPr="00C65D8A">
        <w:rPr>
          <w:rFonts w:ascii="Helvetica" w:eastAsia="Times New Roman" w:hAnsi="Helvetica" w:cs="Helvetica"/>
          <w:color w:val="3F3F3F"/>
          <w:sz w:val="23"/>
          <w:szCs w:val="23"/>
        </w:rPr>
        <w:t>At the Annual Shareholders’ Meeting in February 1998, Siemens announced disappointing overall results for fiscal 1997. While the firm’s sales growth met shareholder expectations, net income remained largely stable. During the following weeks and months, Siemens’ top management not only faced increased pressure from its shareholders, but also higher environmental uncertainty and stronger global competition than during the early and mid-1990s. The challenge for the top management team was to optimize the business portfolio in a way that promised to add substantial shareholder value over the next years. Hence, the need was to develop and implement a revised and more coherent corporate strategy.</w:t>
      </w:r>
    </w:p>
    <w:p w14:paraId="52CD12AB" w14:textId="77777777" w:rsidR="00241E70" w:rsidRPr="00241E70" w:rsidRDefault="00C65D8A" w:rsidP="00241E70">
      <w:pPr>
        <w:pStyle w:val="Heading1"/>
        <w:shd w:val="clear" w:color="auto" w:fill="FFFFFF"/>
        <w:rPr>
          <w:rFonts w:ascii="Helvetica" w:eastAsia="Times New Roman" w:hAnsi="Helvetica" w:cs="Helvetica"/>
          <w:b/>
          <w:bCs/>
          <w:color w:val="3F3F3F"/>
          <w:kern w:val="36"/>
          <w:sz w:val="35"/>
          <w:szCs w:val="35"/>
        </w:rPr>
      </w:pPr>
      <w:r w:rsidRPr="00C65D8A">
        <w:rPr>
          <w:rFonts w:ascii="Helvetica" w:eastAsia="Times New Roman" w:hAnsi="Helvetica" w:cs="Helvetica"/>
          <w:color w:val="3F3F3F"/>
          <w:sz w:val="23"/>
          <w:szCs w:val="23"/>
        </w:rPr>
        <w:t>In response to the developments in 1997 and early 1998 and to facilitate the implementation of the corporate strategy, Siemens launched its first comprehensive corporate program in July 1998. A critical part of the so-called Ten-Point Program was the </w:t>
      </w:r>
      <w:r w:rsidRPr="00C65D8A">
        <w:rPr>
          <w:rFonts w:ascii="Helvetica" w:eastAsia="Times New Roman" w:hAnsi="Helvetica" w:cs="Helvetica"/>
          <w:i/>
          <w:iCs/>
          <w:color w:val="3F3F3F"/>
          <w:sz w:val="23"/>
          <w:szCs w:val="23"/>
        </w:rPr>
        <w:t>top</w:t>
      </w:r>
      <w:r w:rsidRPr="00C65D8A">
        <w:rPr>
          <w:rFonts w:ascii="Helvetica" w:eastAsia="Times New Roman" w:hAnsi="Helvetica" w:cs="Helvetica"/>
          <w:color w:val="3F3F3F"/>
          <w:sz w:val="23"/>
          <w:szCs w:val="23"/>
          <w:vertAlign w:val="superscript"/>
        </w:rPr>
        <w:t>+</w:t>
      </w:r>
      <w:r w:rsidRPr="00C65D8A">
        <w:rPr>
          <w:rFonts w:ascii="Helvetica" w:eastAsia="Times New Roman" w:hAnsi="Helvetica" w:cs="Helvetica"/>
          <w:color w:val="3F3F3F"/>
          <w:sz w:val="23"/>
          <w:szCs w:val="23"/>
        </w:rPr>
        <w:t> program, which exclusively addressed issues of business excellence and management innovation. How did Siemens design and implement the </w:t>
      </w:r>
      <w:r w:rsidRPr="00C65D8A">
        <w:rPr>
          <w:rFonts w:ascii="Helvetica" w:eastAsia="Times New Roman" w:hAnsi="Helvetica" w:cs="Helvetica"/>
          <w:i/>
          <w:iCs/>
          <w:color w:val="3F3F3F"/>
          <w:sz w:val="23"/>
          <w:szCs w:val="23"/>
        </w:rPr>
        <w:t>top</w:t>
      </w:r>
      <w:r w:rsidRPr="00C65D8A">
        <w:rPr>
          <w:rFonts w:ascii="Helvetica" w:eastAsia="Times New Roman" w:hAnsi="Helvetica" w:cs="Helvetica"/>
          <w:color w:val="3F3F3F"/>
          <w:sz w:val="23"/>
          <w:szCs w:val="23"/>
          <w:vertAlign w:val="superscript"/>
        </w:rPr>
        <w:t>+</w:t>
      </w:r>
      <w:r w:rsidRPr="00C65D8A">
        <w:rPr>
          <w:rFonts w:ascii="Helvetica" w:eastAsia="Times New Roman" w:hAnsi="Helvetica" w:cs="Helvetica"/>
          <w:color w:val="3F3F3F"/>
          <w:sz w:val="23"/>
          <w:szCs w:val="23"/>
        </w:rPr>
        <w:t> program and its management innovations? To what extent and how did Siemens benefit from these efforts? These and other related iss</w:t>
      </w:r>
      <w:r w:rsidR="00241E70" w:rsidRPr="00241E70">
        <w:rPr>
          <w:rFonts w:ascii="Helvetica" w:eastAsia="Times New Roman" w:hAnsi="Helvetica" w:cs="Helvetica"/>
          <w:b/>
          <w:bCs/>
          <w:color w:val="3F3F3F"/>
          <w:kern w:val="36"/>
          <w:sz w:val="35"/>
          <w:szCs w:val="35"/>
        </w:rPr>
        <w:t>15-2 Company Profile of Siemens</w:t>
      </w:r>
    </w:p>
    <w:p w14:paraId="205201DD"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Founded in 1847, Siemens developed into one of the leading global electrical engineering and electronics firms over the past 160 years. At the end of fiscal 2007 (September 30, 2007), Siemens employed nearly 400,000 people at 1,698 locations all over the world. From 1998 to 2007, firm revenues and profits increased almost every year, resulting in revenues of 72.448 billion EUR and net income of 4.038 billion EUR. Headquartered in Munich, Germany, Siemens is publicly listed in Germany at the Frankfurt Stock Exchange and in the US at the New York Stock Exchange (NYSE). By the end of fiscal 2007, Siemens’ market capitalization had reached 88.147 billion EUR.</w:t>
      </w:r>
      <w:r w:rsidRPr="00241E70">
        <w:rPr>
          <w:rFonts w:ascii="Helvetica" w:eastAsia="Times New Roman" w:hAnsi="Helvetica" w:cs="Helvetica"/>
          <w:noProof/>
          <w:color w:val="006298"/>
          <w:sz w:val="23"/>
          <w:szCs w:val="23"/>
        </w:rPr>
        <w:drawing>
          <wp:inline distT="0" distB="0" distL="0" distR="0" wp14:anchorId="55D8B532" wp14:editId="75AC2F7B">
            <wp:extent cx="120650" cy="120650"/>
            <wp:effectExtent l="0" t="0" r="0" b="0"/>
            <wp:docPr id="1" name="Picture 1" descr="https://ng.cengage.com/static/nbapps/glossary/images/footstar.png">
              <a:hlinkClick xmlns:a="http://schemas.openxmlformats.org/drawingml/2006/main" r:id="rId4"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g.cengage.com/static/nbapps/glossary/images/footstar.png">
                      <a:hlinkClick r:id="rId4"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051E49AA"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During the period from 1998 to 2007, the business </w:t>
      </w:r>
      <w:r w:rsidRPr="00241E70">
        <w:rPr>
          <w:rFonts w:ascii="Helvetica" w:eastAsia="Times New Roman" w:hAnsi="Helvetica" w:cs="Helvetica"/>
          <w:i/>
          <w:iCs/>
          <w:color w:val="3F3F3F"/>
          <w:sz w:val="23"/>
          <w:szCs w:val="23"/>
        </w:rPr>
        <w:t>portfolio</w:t>
      </w:r>
      <w:r w:rsidRPr="00241E70">
        <w:rPr>
          <w:rFonts w:ascii="Helvetica" w:eastAsia="Times New Roman" w:hAnsi="Helvetica" w:cs="Helvetica"/>
          <w:color w:val="3F3F3F"/>
          <w:sz w:val="23"/>
          <w:szCs w:val="23"/>
        </w:rPr>
        <w:t> was frequently adjusted (see </w:t>
      </w:r>
      <w:hyperlink r:id="rId6" w:history="1">
        <w:r w:rsidRPr="00241E70">
          <w:rPr>
            <w:rFonts w:ascii="Helvetica" w:eastAsia="Times New Roman" w:hAnsi="Helvetica" w:cs="Helvetica"/>
            <w:color w:val="006298"/>
            <w:sz w:val="23"/>
            <w:szCs w:val="23"/>
          </w:rPr>
          <w:t>Exhibits 1</w:t>
        </w:r>
      </w:hyperlink>
      <w:r w:rsidRPr="00241E70">
        <w:rPr>
          <w:rFonts w:ascii="Helvetica" w:eastAsia="Times New Roman" w:hAnsi="Helvetica" w:cs="Helvetica"/>
          <w:color w:val="3F3F3F"/>
          <w:sz w:val="23"/>
          <w:szCs w:val="23"/>
        </w:rPr>
        <w:t> and </w:t>
      </w:r>
      <w:hyperlink r:id="rId7" w:history="1">
        <w:r w:rsidRPr="00241E70">
          <w:rPr>
            <w:rFonts w:ascii="Helvetica" w:eastAsia="Times New Roman" w:hAnsi="Helvetica" w:cs="Helvetica"/>
            <w:color w:val="006298"/>
            <w:sz w:val="23"/>
            <w:szCs w:val="23"/>
          </w:rPr>
          <w:t>2</w:t>
        </w:r>
      </w:hyperlink>
      <w:r w:rsidRPr="00241E70">
        <w:rPr>
          <w:rFonts w:ascii="Helvetica" w:eastAsia="Times New Roman" w:hAnsi="Helvetica" w:cs="Helvetica"/>
          <w:color w:val="3F3F3F"/>
          <w:sz w:val="23"/>
          <w:szCs w:val="23"/>
        </w:rPr>
        <w:t>). Examples include the spin-off of the semiconductor business under the name Infineon Technologies by an initial public offering (IPO) in 1999. At the end of 2007, the firm’s portfolio consisted of the following operating groups: Automation &amp; Drives (A&amp;D), Industrial Solutions and Services (I&amp;S), Siemens Building Technologies (SBT), Osram, Transportation Systems (TS), Power Generation (PG), Power Transmission and Distribution (PTD), Medical Solutions (Med), and Siemens IT Solutions and Services (SIS). In addition, Siemens Financial Services (SFS) and Siemens Real Estate Services (SRE) were part of the portfolio.</w:t>
      </w:r>
    </w:p>
    <w:p w14:paraId="75FCB215" w14:textId="77777777" w:rsidR="00241E70" w:rsidRPr="00241E70" w:rsidRDefault="00241E70" w:rsidP="00241E70">
      <w:pPr>
        <w:shd w:val="clear" w:color="auto" w:fill="FFFFFF"/>
        <w:spacing w:after="150" w:line="240" w:lineRule="auto"/>
        <w:rPr>
          <w:rFonts w:ascii="Helvetica" w:eastAsia="Times New Roman" w:hAnsi="Helvetica" w:cs="Helvetica"/>
          <w:b/>
          <w:bCs/>
          <w:color w:val="C15827"/>
          <w:sz w:val="23"/>
          <w:szCs w:val="23"/>
        </w:rPr>
      </w:pPr>
      <w:r w:rsidRPr="00241E70">
        <w:rPr>
          <w:rFonts w:ascii="Helvetica" w:eastAsia="Times New Roman" w:hAnsi="Helvetica" w:cs="Helvetica"/>
          <w:b/>
          <w:bCs/>
          <w:color w:val="C15827"/>
          <w:sz w:val="23"/>
          <w:szCs w:val="23"/>
        </w:rPr>
        <w:t>Exhibit 1</w:t>
      </w:r>
      <w:r w:rsidRPr="00241E70">
        <w:rPr>
          <w:rFonts w:ascii="Helvetica" w:eastAsia="Times New Roman" w:hAnsi="Helvetica" w:cs="Helvetica"/>
          <w:b/>
          <w:bCs/>
          <w:color w:val="000000"/>
          <w:sz w:val="25"/>
          <w:szCs w:val="25"/>
        </w:rPr>
        <w:t>Siemens Corporate Structure 1998</w:t>
      </w:r>
    </w:p>
    <w:p w14:paraId="7A48B9B9" w14:textId="77777777" w:rsidR="00241E70" w:rsidRPr="00241E70" w:rsidRDefault="00241E70" w:rsidP="00241E70">
      <w:pPr>
        <w:shd w:val="clear" w:color="auto" w:fill="FFFFFF"/>
        <w:spacing w:line="240" w:lineRule="auto"/>
        <w:rPr>
          <w:rFonts w:ascii="Helvetica" w:eastAsia="Times New Roman" w:hAnsi="Helvetica" w:cs="Helvetica"/>
          <w:color w:val="3F3F3F"/>
          <w:sz w:val="23"/>
          <w:szCs w:val="23"/>
        </w:rPr>
      </w:pPr>
    </w:p>
    <w:p w14:paraId="5309F633" w14:textId="77777777" w:rsidR="00241E70" w:rsidRPr="00241E70" w:rsidRDefault="00241E70" w:rsidP="00241E70">
      <w:pPr>
        <w:shd w:val="clear" w:color="auto" w:fill="FFFFFF"/>
        <w:spacing w:line="240" w:lineRule="auto"/>
        <w:rPr>
          <w:rFonts w:ascii="Helvetica" w:eastAsia="Times New Roman" w:hAnsi="Helvetica" w:cs="Helvetica"/>
          <w:color w:val="3F3F3F"/>
          <w:sz w:val="23"/>
          <w:szCs w:val="23"/>
        </w:rPr>
      </w:pPr>
      <w:r w:rsidRPr="00241E70">
        <w:rPr>
          <w:rFonts w:ascii="Helvetica" w:eastAsia="Times New Roman" w:hAnsi="Helvetica" w:cs="Helvetica"/>
          <w:color w:val="666666"/>
          <w:sz w:val="18"/>
          <w:szCs w:val="18"/>
        </w:rPr>
        <w:t>Source: Siemens Annual Report 1998.</w:t>
      </w:r>
    </w:p>
    <w:p w14:paraId="4036F671" w14:textId="77777777" w:rsidR="00241E70" w:rsidRPr="00241E70" w:rsidRDefault="00241E70" w:rsidP="00241E70">
      <w:pPr>
        <w:shd w:val="clear" w:color="auto" w:fill="FFFFFF"/>
        <w:spacing w:after="150" w:line="240" w:lineRule="auto"/>
        <w:rPr>
          <w:rFonts w:ascii="Helvetica" w:eastAsia="Times New Roman" w:hAnsi="Helvetica" w:cs="Helvetica"/>
          <w:b/>
          <w:bCs/>
          <w:color w:val="C15827"/>
          <w:sz w:val="23"/>
          <w:szCs w:val="23"/>
        </w:rPr>
      </w:pPr>
      <w:r w:rsidRPr="00241E70">
        <w:rPr>
          <w:rFonts w:ascii="Helvetica" w:eastAsia="Times New Roman" w:hAnsi="Helvetica" w:cs="Helvetica"/>
          <w:b/>
          <w:bCs/>
          <w:color w:val="C15827"/>
          <w:sz w:val="23"/>
          <w:szCs w:val="23"/>
        </w:rPr>
        <w:t>Exhibit 2</w:t>
      </w:r>
      <w:r w:rsidRPr="00241E70">
        <w:rPr>
          <w:rFonts w:ascii="Helvetica" w:eastAsia="Times New Roman" w:hAnsi="Helvetica" w:cs="Helvetica"/>
          <w:b/>
          <w:bCs/>
          <w:color w:val="000000"/>
          <w:sz w:val="25"/>
          <w:szCs w:val="25"/>
        </w:rPr>
        <w:t>Siemens Corporate Structure 2007</w:t>
      </w:r>
    </w:p>
    <w:p w14:paraId="179926D1" w14:textId="77777777" w:rsidR="00241E70" w:rsidRPr="00241E70" w:rsidRDefault="00241E70" w:rsidP="00241E70">
      <w:pPr>
        <w:shd w:val="clear" w:color="auto" w:fill="FFFFFF"/>
        <w:spacing w:line="240" w:lineRule="auto"/>
        <w:rPr>
          <w:rFonts w:ascii="Helvetica" w:eastAsia="Times New Roman" w:hAnsi="Helvetica" w:cs="Helvetica"/>
          <w:color w:val="3F3F3F"/>
          <w:sz w:val="23"/>
          <w:szCs w:val="23"/>
        </w:rPr>
      </w:pPr>
    </w:p>
    <w:p w14:paraId="6972EAA1" w14:textId="77777777" w:rsidR="00241E70" w:rsidRPr="00241E70" w:rsidRDefault="00241E70" w:rsidP="00241E70">
      <w:pPr>
        <w:shd w:val="clear" w:color="auto" w:fill="FFFFFF"/>
        <w:spacing w:line="240" w:lineRule="auto"/>
        <w:rPr>
          <w:rFonts w:ascii="Helvetica" w:eastAsia="Times New Roman" w:hAnsi="Helvetica" w:cs="Helvetica"/>
          <w:color w:val="3F3F3F"/>
          <w:sz w:val="23"/>
          <w:szCs w:val="23"/>
        </w:rPr>
      </w:pPr>
      <w:r w:rsidRPr="00241E70">
        <w:rPr>
          <w:rFonts w:ascii="Helvetica" w:eastAsia="Times New Roman" w:hAnsi="Helvetica" w:cs="Helvetica"/>
          <w:color w:val="666666"/>
          <w:sz w:val="18"/>
          <w:szCs w:val="18"/>
        </w:rPr>
        <w:t>Source: Siemens Annual Report 2007.</w:t>
      </w:r>
    </w:p>
    <w:p w14:paraId="789FFFFF"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lastRenderedPageBreak/>
        <w:t>Together with about 180 regional companies in five regions (Germany, Europe other than Germany, Americas, Asia-Pacific, and Africa, Near and Middle and Commonwealth of Independent States), the operating groups were part of a matrix </w:t>
      </w:r>
      <w:r w:rsidRPr="00241E70">
        <w:rPr>
          <w:rFonts w:ascii="Helvetica" w:eastAsia="Times New Roman" w:hAnsi="Helvetica" w:cs="Helvetica"/>
          <w:i/>
          <w:iCs/>
          <w:color w:val="3F3F3F"/>
          <w:sz w:val="23"/>
          <w:szCs w:val="23"/>
        </w:rPr>
        <w:t>organizational structure</w:t>
      </w:r>
      <w:r w:rsidRPr="00241E70">
        <w:rPr>
          <w:rFonts w:ascii="Helvetica" w:eastAsia="Times New Roman" w:hAnsi="Helvetica" w:cs="Helvetica"/>
          <w:color w:val="3F3F3F"/>
          <w:sz w:val="23"/>
          <w:szCs w:val="23"/>
        </w:rPr>
        <w:t> (see </w:t>
      </w:r>
      <w:hyperlink r:id="rId8" w:history="1">
        <w:r w:rsidRPr="00241E70">
          <w:rPr>
            <w:rFonts w:ascii="Helvetica" w:eastAsia="Times New Roman" w:hAnsi="Helvetica" w:cs="Helvetica"/>
            <w:color w:val="006298"/>
            <w:sz w:val="23"/>
            <w:szCs w:val="23"/>
          </w:rPr>
          <w:t>Exhibit 2</w:t>
        </w:r>
      </w:hyperlink>
      <w:r w:rsidRPr="00241E70">
        <w:rPr>
          <w:rFonts w:ascii="Helvetica" w:eastAsia="Times New Roman" w:hAnsi="Helvetica" w:cs="Helvetica"/>
          <w:color w:val="3F3F3F"/>
          <w:sz w:val="23"/>
          <w:szCs w:val="23"/>
        </w:rPr>
        <w:t>). Although the operating groups had profit-and-loss responsibility and were largely autonomous regarding their operative business activities, some influence from the central top management and central organizational functions existed. First, the group presidents were frequently also members of the overall firm’s managing board. Second, although the central entity primarily exercised financial control over the operating groups, some strategic measures that affected the way the businesses operate also existed. For example, the centrally controlled operational excellence initiatives were mandatory for all operating groups.</w:t>
      </w:r>
    </w:p>
    <w:p w14:paraId="2D2CCDDA"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bookmarkStart w:id="0" w:name="PageEnd_C-193"/>
      <w:bookmarkStart w:id="1" w:name="PageEnd_C-194"/>
      <w:bookmarkStart w:id="2" w:name="PageEnd_C-195"/>
      <w:bookmarkEnd w:id="0"/>
      <w:bookmarkEnd w:id="1"/>
      <w:bookmarkEnd w:id="2"/>
      <w:r w:rsidRPr="00241E70">
        <w:rPr>
          <w:rFonts w:ascii="Helvetica" w:eastAsia="Times New Roman" w:hAnsi="Helvetica" w:cs="Helvetica"/>
          <w:color w:val="3F3F3F"/>
          <w:sz w:val="23"/>
          <w:szCs w:val="23"/>
        </w:rPr>
        <w:t>The influence on some of the strategic decisions of the firm’s businesses was indeed part of Siemens’ </w:t>
      </w:r>
      <w:r w:rsidRPr="00241E70">
        <w:rPr>
          <w:rFonts w:ascii="Helvetica" w:eastAsia="Times New Roman" w:hAnsi="Helvetica" w:cs="Helvetica"/>
          <w:i/>
          <w:iCs/>
          <w:color w:val="3F3F3F"/>
          <w:sz w:val="23"/>
          <w:szCs w:val="23"/>
        </w:rPr>
        <w:t>corporate strategy</w:t>
      </w:r>
      <w:r w:rsidRPr="00241E70">
        <w:rPr>
          <w:rFonts w:ascii="Helvetica" w:eastAsia="Times New Roman" w:hAnsi="Helvetica" w:cs="Helvetica"/>
          <w:color w:val="3F3F3F"/>
          <w:sz w:val="23"/>
          <w:szCs w:val="23"/>
        </w:rPr>
        <w:t>, aiming at superior value creation for the overall firm. During the period from 1998 to 2007, the firm’s corporate strategy developed towards a concept of simultaneous vertical and horizontal optimization. First, vertical optimization included active portfolio management and operational excellence in the areas of innovation, customer focus, and global competitiveness. Vertical optimization was designed to lead to synergy by leveraging corporate capabilities and tools to individual operating groups. Second, horizontal optimization concerned the exploitation of synergies across the operating groups facilitated by initiatives such as Siemens One. As illustrated in this case study, the firm’s corporate strategy was executed with the help of several corporate programs.</w:t>
      </w:r>
    </w:p>
    <w:p w14:paraId="2AE1F38C"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The firm’s </w:t>
      </w:r>
      <w:r w:rsidRPr="00241E70">
        <w:rPr>
          <w:rFonts w:ascii="Helvetica" w:eastAsia="Times New Roman" w:hAnsi="Helvetica" w:cs="Helvetica"/>
          <w:i/>
          <w:iCs/>
          <w:color w:val="3F3F3F"/>
          <w:sz w:val="23"/>
          <w:szCs w:val="23"/>
        </w:rPr>
        <w:t>corporate center</w:t>
      </w:r>
      <w:r w:rsidRPr="00241E70">
        <w:rPr>
          <w:rFonts w:ascii="Helvetica" w:eastAsia="Times New Roman" w:hAnsi="Helvetica" w:cs="Helvetica"/>
          <w:color w:val="3F3F3F"/>
          <w:sz w:val="23"/>
          <w:szCs w:val="23"/>
        </w:rPr>
        <w:t> was supposed to contribute to the overall corporate development, including the corporate programs, and to support the operating groups. It consisted of so-called corporate departments, including corporate development, corporate finance, corporate legal and compliance, corporate personnel, and corporate technology. Further, the corporate center comprised five sub-centers: corporate communications and government affairs, corporate information office, corporate supply chain and procurement, global shared services, and management consulting personnel. During the period from 1998 to 2007, the corporate center of Siemens was itself subject to extensive restructuring activities. For example, in 2001 the firm planned to cut corporate center costs by 15 percent in each of the following two years.</w:t>
      </w:r>
      <w:r w:rsidRPr="00241E70">
        <w:rPr>
          <w:rFonts w:ascii="Helvetica" w:eastAsia="Times New Roman" w:hAnsi="Helvetica" w:cs="Helvetica"/>
          <w:noProof/>
          <w:color w:val="006298"/>
          <w:sz w:val="23"/>
          <w:szCs w:val="23"/>
        </w:rPr>
        <w:drawing>
          <wp:inline distT="0" distB="0" distL="0" distR="0" wp14:anchorId="69A6663C" wp14:editId="2FAD0302">
            <wp:extent cx="120650" cy="120650"/>
            <wp:effectExtent l="0" t="0" r="0" b="0"/>
            <wp:docPr id="2" name="Picture 2" descr="https://ng.cengage.com/static/nbapps/glossary/images/footstar.png">
              <a:hlinkClick xmlns:a="http://schemas.openxmlformats.org/drawingml/2006/main" r:id="rId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ng.cengage.com/static/nbapps/glossary/images/footstar.png">
                      <a:hlinkClick r:id="rId4"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Helvetica" w:eastAsia="Times New Roman" w:hAnsi="Helvetica" w:cs="Helvetica"/>
          <w:color w:val="3F3F3F"/>
          <w:sz w:val="23"/>
          <w:szCs w:val="23"/>
        </w:rPr>
        <w:t> In addition to the corporate center functions, Siemens founded the in-house consultancy Siemens Management Consulting (SMC) in 1996. This internal top management consultancy not only contributed to the implementation of a variety of different corporate projects but also served as talent pool for future management positions at Siemens.</w:t>
      </w:r>
    </w:p>
    <w:p w14:paraId="3949030C" w14:textId="77777777" w:rsidR="00C65D8A" w:rsidRDefault="00C65D8A" w:rsidP="00C65D8A">
      <w:pPr>
        <w:shd w:val="clear" w:color="auto" w:fill="FFFFFF"/>
        <w:spacing w:after="225" w:line="240" w:lineRule="auto"/>
        <w:rPr>
          <w:rFonts w:ascii="Helvetica" w:eastAsia="Times New Roman" w:hAnsi="Helvetica" w:cs="Helvetica"/>
          <w:color w:val="3F3F3F"/>
          <w:sz w:val="23"/>
          <w:szCs w:val="23"/>
        </w:rPr>
      </w:pPr>
      <w:proofErr w:type="spellStart"/>
      <w:r w:rsidRPr="00C65D8A">
        <w:rPr>
          <w:rFonts w:ascii="Helvetica" w:eastAsia="Times New Roman" w:hAnsi="Helvetica" w:cs="Helvetica"/>
          <w:color w:val="3F3F3F"/>
          <w:sz w:val="23"/>
          <w:szCs w:val="23"/>
        </w:rPr>
        <w:t>ues</w:t>
      </w:r>
      <w:proofErr w:type="spellEnd"/>
      <w:r w:rsidRPr="00C65D8A">
        <w:rPr>
          <w:rFonts w:ascii="Helvetica" w:eastAsia="Times New Roman" w:hAnsi="Helvetica" w:cs="Helvetica"/>
          <w:color w:val="3F3F3F"/>
          <w:sz w:val="23"/>
          <w:szCs w:val="23"/>
        </w:rPr>
        <w:t xml:space="preserve"> will be illustrated in the following.</w:t>
      </w:r>
    </w:p>
    <w:p w14:paraId="4106BE3F" w14:textId="77777777" w:rsidR="00241E70" w:rsidRPr="00241E70" w:rsidRDefault="00241E70" w:rsidP="00241E70">
      <w:pPr>
        <w:shd w:val="clear" w:color="auto" w:fill="FFFFFF"/>
        <w:spacing w:before="360" w:line="240" w:lineRule="auto"/>
        <w:ind w:left="975" w:right="1500"/>
        <w:outlineLvl w:val="0"/>
        <w:rPr>
          <w:rFonts w:ascii="Tahoma" w:eastAsia="Times New Roman" w:hAnsi="Tahoma" w:cs="Tahoma"/>
          <w:color w:val="007DB8"/>
          <w:kern w:val="36"/>
          <w:sz w:val="48"/>
          <w:szCs w:val="48"/>
        </w:rPr>
      </w:pPr>
      <w:r w:rsidRPr="00241E70">
        <w:rPr>
          <w:rFonts w:ascii="Tahoma" w:eastAsia="Times New Roman" w:hAnsi="Tahoma" w:cs="Tahoma"/>
          <w:color w:val="007DB8"/>
          <w:kern w:val="36"/>
          <w:sz w:val="48"/>
          <w:szCs w:val="48"/>
        </w:rPr>
        <w:t>Management Innovation Activity at Siemens</w:t>
      </w:r>
    </w:p>
    <w:p w14:paraId="3ABD5D64" w14:textId="77777777" w:rsidR="00241E70" w:rsidRPr="00241E70" w:rsidRDefault="00241E70" w:rsidP="00241E70">
      <w:pPr>
        <w:shd w:val="clear" w:color="auto" w:fill="FFFFFF"/>
        <w:spacing w:line="240" w:lineRule="auto"/>
        <w:ind w:left="975" w:right="975"/>
        <w:rPr>
          <w:rFonts w:ascii="Cambria" w:eastAsia="Times New Roman" w:hAnsi="Cambria" w:cs="Times New Roman"/>
          <w:color w:val="575757"/>
          <w:sz w:val="27"/>
          <w:szCs w:val="27"/>
        </w:rPr>
      </w:pPr>
      <w:r w:rsidRPr="00241E70">
        <w:rPr>
          <w:rFonts w:ascii="Cambria" w:eastAsia="Times New Roman" w:hAnsi="Cambria" w:cs="Times New Roman"/>
          <w:color w:val="575757"/>
          <w:sz w:val="27"/>
          <w:szCs w:val="27"/>
        </w:rPr>
        <w:t xml:space="preserve">According to Johannes </w:t>
      </w:r>
      <w:proofErr w:type="spellStart"/>
      <w:r w:rsidRPr="00241E70">
        <w:rPr>
          <w:rFonts w:ascii="Cambria" w:eastAsia="Times New Roman" w:hAnsi="Cambria" w:cs="Times New Roman"/>
          <w:color w:val="575757"/>
          <w:sz w:val="27"/>
          <w:szCs w:val="27"/>
        </w:rPr>
        <w:t>Feldmayer</w:t>
      </w:r>
      <w:proofErr w:type="spellEnd"/>
      <w:r w:rsidRPr="00241E70">
        <w:rPr>
          <w:rFonts w:ascii="Cambria" w:eastAsia="Times New Roman" w:hAnsi="Cambria" w:cs="Times New Roman"/>
          <w:color w:val="575757"/>
          <w:sz w:val="27"/>
          <w:szCs w:val="27"/>
        </w:rPr>
        <w:t xml:space="preserve">, a former managing board member of Siemens, management innovation means changing the management system of the firm, which involves the </w:t>
      </w:r>
      <w:r w:rsidRPr="00241E70">
        <w:rPr>
          <w:rFonts w:ascii="Cambria" w:eastAsia="Times New Roman" w:hAnsi="Cambria" w:cs="Times New Roman"/>
          <w:color w:val="575757"/>
          <w:sz w:val="27"/>
          <w:szCs w:val="27"/>
        </w:rPr>
        <w:lastRenderedPageBreak/>
        <w:t>principles and rules of structuring and managing the organization. Concerning a change in the “how” rather than in the “what” of management, it has a systemic and sustainable character and is supposed to lead to significant improvements of the firm’s competitive position.</w:t>
      </w:r>
      <w:r w:rsidRPr="00241E70">
        <w:rPr>
          <w:rFonts w:ascii="Cambria" w:eastAsia="Times New Roman" w:hAnsi="Cambria" w:cs="Times New Roman"/>
          <w:noProof/>
          <w:color w:val="007DB8"/>
          <w:sz w:val="27"/>
          <w:szCs w:val="27"/>
        </w:rPr>
        <w:drawing>
          <wp:inline distT="0" distB="0" distL="0" distR="0" wp14:anchorId="1B593D32" wp14:editId="498D55FE">
            <wp:extent cx="120650" cy="120650"/>
            <wp:effectExtent l="0" t="0" r="0" b="0"/>
            <wp:docPr id="5" name="Picture 5" descr="https://ng.cengage.com/static/nbapps/glossary/images/footstar.png">
              <a:hlinkClick xmlns:a="http://schemas.openxmlformats.org/drawingml/2006/main" r:id="rId8"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ng.cengage.com/static/nbapps/glossary/images/footstar.png">
                      <a:hlinkClick r:id="rId7"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Cambria" w:eastAsia="Times New Roman" w:hAnsi="Cambria" w:cs="Times New Roman"/>
          <w:color w:val="575757"/>
          <w:sz w:val="27"/>
          <w:szCs w:val="27"/>
        </w:rPr>
        <w:t xml:space="preserve"> While Siemens frequently had introduced single management innovations during the past decades, the electrical engineering giant started a more structured and systematic approach to management innovation and business excellence during the early 1990s. In 1993, then CEO von </w:t>
      </w:r>
      <w:proofErr w:type="spellStart"/>
      <w:r w:rsidRPr="00241E70">
        <w:rPr>
          <w:rFonts w:ascii="Cambria" w:eastAsia="Times New Roman" w:hAnsi="Cambria" w:cs="Times New Roman"/>
          <w:color w:val="575757"/>
          <w:sz w:val="27"/>
          <w:szCs w:val="27"/>
        </w:rPr>
        <w:t>Pierer</w:t>
      </w:r>
      <w:proofErr w:type="spellEnd"/>
      <w:r w:rsidRPr="00241E70">
        <w:rPr>
          <w:rFonts w:ascii="Cambria" w:eastAsia="Times New Roman" w:hAnsi="Cambria" w:cs="Times New Roman"/>
          <w:color w:val="575757"/>
          <w:sz w:val="27"/>
          <w:szCs w:val="27"/>
        </w:rPr>
        <w:t xml:space="preserve"> and his top management team initiated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7"/>
          <w:szCs w:val="27"/>
        </w:rPr>
        <w:t> (time-optimized processes) program. Because of its importance for the overall firm, Siemens management decided to continue the program under the slightly revised name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from 1998 onwards. As we will illustrate in the following for the ten-year period from 1998 to 2007, what started as a productivity improvement initiative developed into a comprehensive management innovation program. Overall, its objective was to improve firm performance by a guided approach to business excellence. Broadly speaking, the main issues of the initiative were innovation, customer focus, and global competitiveness.</w:t>
      </w:r>
    </w:p>
    <w:p w14:paraId="0DB48B64" w14:textId="77777777" w:rsidR="00241E70" w:rsidRPr="00241E70" w:rsidRDefault="00241E70" w:rsidP="00241E70">
      <w:pPr>
        <w:shd w:val="clear" w:color="auto" w:fill="FFFFFF"/>
        <w:spacing w:before="100" w:beforeAutospacing="1" w:after="100" w:afterAutospacing="1" w:line="240" w:lineRule="auto"/>
        <w:outlineLvl w:val="1"/>
        <w:rPr>
          <w:rFonts w:ascii="Helvetica" w:eastAsia="Times New Roman" w:hAnsi="Helvetica" w:cs="Helvetica"/>
          <w:b/>
          <w:bCs/>
          <w:color w:val="3F3F3F"/>
          <w:sz w:val="28"/>
          <w:szCs w:val="28"/>
        </w:rPr>
      </w:pPr>
      <w:r w:rsidRPr="00241E70">
        <w:rPr>
          <w:rFonts w:ascii="Helvetica" w:eastAsia="Times New Roman" w:hAnsi="Helvetica" w:cs="Helvetica"/>
          <w:b/>
          <w:bCs/>
          <w:color w:val="3F3F3F"/>
          <w:sz w:val="28"/>
          <w:szCs w:val="28"/>
        </w:rPr>
        <w:t>15-3a Context and Evolution of the </w:t>
      </w:r>
      <w:r w:rsidRPr="00241E70">
        <w:rPr>
          <w:rFonts w:ascii="Helvetica" w:eastAsia="Times New Roman" w:hAnsi="Helvetica" w:cs="Helvetica"/>
          <w:b/>
          <w:bCs/>
          <w:i/>
          <w:iCs/>
          <w:color w:val="3F3F3F"/>
          <w:sz w:val="28"/>
          <w:szCs w:val="28"/>
        </w:rPr>
        <w:t>top</w:t>
      </w:r>
      <w:r w:rsidRPr="00241E70">
        <w:rPr>
          <w:rFonts w:ascii="Helvetica" w:eastAsia="Times New Roman" w:hAnsi="Helvetica" w:cs="Helvetica"/>
          <w:b/>
          <w:bCs/>
          <w:color w:val="3F3F3F"/>
          <w:sz w:val="28"/>
          <w:szCs w:val="28"/>
          <w:vertAlign w:val="superscript"/>
        </w:rPr>
        <w:t>+</w:t>
      </w:r>
      <w:r w:rsidRPr="00241E70">
        <w:rPr>
          <w:rFonts w:ascii="Helvetica" w:eastAsia="Times New Roman" w:hAnsi="Helvetica" w:cs="Helvetica"/>
          <w:b/>
          <w:bCs/>
          <w:color w:val="3F3F3F"/>
          <w:sz w:val="28"/>
          <w:szCs w:val="28"/>
        </w:rPr>
        <w:t> Program</w:t>
      </w:r>
    </w:p>
    <w:p w14:paraId="6254286F"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 xml:space="preserve">Initiated by von </w:t>
      </w:r>
      <w:proofErr w:type="spellStart"/>
      <w:r w:rsidRPr="00241E70">
        <w:rPr>
          <w:rFonts w:ascii="Helvetica" w:eastAsia="Times New Roman" w:hAnsi="Helvetica" w:cs="Helvetica"/>
          <w:color w:val="3F3F3F"/>
          <w:sz w:val="23"/>
          <w:szCs w:val="23"/>
        </w:rPr>
        <w:t>Pierer</w:t>
      </w:r>
      <w:proofErr w:type="spellEnd"/>
      <w:r w:rsidRPr="00241E70">
        <w:rPr>
          <w:rFonts w:ascii="Helvetica" w:eastAsia="Times New Roman" w:hAnsi="Helvetica" w:cs="Helvetica"/>
          <w:color w:val="3F3F3F"/>
          <w:sz w:val="23"/>
          <w:szCs w:val="23"/>
        </w:rPr>
        <w:t xml:space="preserve"> in 1993,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rPr>
        <w:t>/</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program was directly supervised by a member of the managing board (see </w:t>
      </w:r>
      <w:hyperlink r:id="rId9" w:history="1">
        <w:r w:rsidRPr="00241E70">
          <w:rPr>
            <w:rFonts w:ascii="Helvetica" w:eastAsia="Times New Roman" w:hAnsi="Helvetica" w:cs="Helvetica"/>
            <w:color w:val="006298"/>
            <w:sz w:val="23"/>
            <w:szCs w:val="23"/>
          </w:rPr>
          <w:t>Exhibit 3</w:t>
        </w:r>
      </w:hyperlink>
      <w:r w:rsidRPr="00241E70">
        <w:rPr>
          <w:rFonts w:ascii="Helvetica" w:eastAsia="Times New Roman" w:hAnsi="Helvetica" w:cs="Helvetica"/>
          <w:color w:val="3F3F3F"/>
          <w:sz w:val="23"/>
          <w:szCs w:val="23"/>
        </w:rPr>
        <w:t> for an overview on the program’s names, responsible managing boards members, and corporate programs from 1993 until 2007). The Siemens operational excellence program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xml:space="preserve"> was characterized by a high degree of continuity concerning its supervision by the firm’s top management team. Until September 2000, Günter Wilhelm, Siemens’ head of the Automation and Drives (A&amp;D) and Industrial Solutions and Services (I&amp;S) Groups as well as of the overall Asian and Australian business activities, was responsible for launching and establishing the program. In the following years, Klaus </w:t>
      </w:r>
      <w:proofErr w:type="spellStart"/>
      <w:r w:rsidRPr="00241E70">
        <w:rPr>
          <w:rFonts w:ascii="Helvetica" w:eastAsia="Times New Roman" w:hAnsi="Helvetica" w:cs="Helvetica"/>
          <w:color w:val="3F3F3F"/>
          <w:sz w:val="23"/>
          <w:szCs w:val="23"/>
        </w:rPr>
        <w:t>Wucherer</w:t>
      </w:r>
      <w:proofErr w:type="spellEnd"/>
      <w:r w:rsidRPr="00241E70">
        <w:rPr>
          <w:rFonts w:ascii="Helvetica" w:eastAsia="Times New Roman" w:hAnsi="Helvetica" w:cs="Helvetica"/>
          <w:color w:val="3F3F3F"/>
          <w:sz w:val="23"/>
          <w:szCs w:val="23"/>
        </w:rPr>
        <w:t xml:space="preserve"> was in charge of the firm’s business excellence initiatives. Finally, Erich Reinhardt, then CEO of the Siemens Healthcare Sector, succeeded </w:t>
      </w:r>
      <w:proofErr w:type="spellStart"/>
      <w:r w:rsidRPr="00241E70">
        <w:rPr>
          <w:rFonts w:ascii="Helvetica" w:eastAsia="Times New Roman" w:hAnsi="Helvetica" w:cs="Helvetica"/>
          <w:color w:val="3F3F3F"/>
          <w:sz w:val="23"/>
          <w:szCs w:val="23"/>
        </w:rPr>
        <w:t>Wucherer</w:t>
      </w:r>
      <w:proofErr w:type="spellEnd"/>
      <w:r w:rsidRPr="00241E70">
        <w:rPr>
          <w:rFonts w:ascii="Helvetica" w:eastAsia="Times New Roman" w:hAnsi="Helvetica" w:cs="Helvetica"/>
          <w:color w:val="3F3F3F"/>
          <w:sz w:val="23"/>
          <w:szCs w:val="23"/>
        </w:rPr>
        <w:t>, who resigned from the Siemens managing board by the end of 2007.</w:t>
      </w:r>
    </w:p>
    <w:p w14:paraId="51A01180" w14:textId="77777777" w:rsidR="00241E70" w:rsidRPr="00241E70" w:rsidRDefault="00241E70" w:rsidP="00241E70">
      <w:pPr>
        <w:shd w:val="clear" w:color="auto" w:fill="FFFFFF"/>
        <w:spacing w:after="150" w:line="240" w:lineRule="auto"/>
        <w:rPr>
          <w:rFonts w:ascii="Helvetica" w:eastAsia="Times New Roman" w:hAnsi="Helvetica" w:cs="Helvetica"/>
          <w:b/>
          <w:bCs/>
          <w:color w:val="C15827"/>
          <w:sz w:val="23"/>
          <w:szCs w:val="23"/>
        </w:rPr>
      </w:pPr>
      <w:r w:rsidRPr="00241E70">
        <w:rPr>
          <w:rFonts w:ascii="Helvetica" w:eastAsia="Times New Roman" w:hAnsi="Helvetica" w:cs="Helvetica"/>
          <w:b/>
          <w:bCs/>
          <w:color w:val="C15827"/>
          <w:sz w:val="23"/>
          <w:szCs w:val="23"/>
        </w:rPr>
        <w:t>Exhibit 3</w:t>
      </w:r>
      <w:r w:rsidRPr="00241E70">
        <w:rPr>
          <w:rFonts w:ascii="Helvetica" w:eastAsia="Times New Roman" w:hAnsi="Helvetica" w:cs="Helvetica"/>
          <w:b/>
          <w:bCs/>
          <w:color w:val="000000"/>
          <w:sz w:val="25"/>
          <w:szCs w:val="25"/>
        </w:rPr>
        <w:t>Context and Development of Siemens top</w:t>
      </w:r>
      <w:r w:rsidRPr="00241E70">
        <w:rPr>
          <w:rFonts w:ascii="Helvetica" w:eastAsia="Times New Roman" w:hAnsi="Helvetica" w:cs="Helvetica"/>
          <w:b/>
          <w:bCs/>
          <w:color w:val="000000"/>
          <w:sz w:val="25"/>
          <w:szCs w:val="25"/>
          <w:vertAlign w:val="superscript"/>
        </w:rPr>
        <w:t>+</w:t>
      </w:r>
    </w:p>
    <w:p w14:paraId="04CC39EA" w14:textId="77777777" w:rsidR="00241E70" w:rsidRPr="00241E70" w:rsidRDefault="00241E70" w:rsidP="00241E70">
      <w:pPr>
        <w:shd w:val="clear" w:color="auto" w:fill="FFFFFF"/>
        <w:spacing w:line="240" w:lineRule="auto"/>
        <w:rPr>
          <w:rFonts w:ascii="Helvetica" w:eastAsia="Times New Roman" w:hAnsi="Helvetica" w:cs="Helvetica"/>
          <w:color w:val="3F3F3F"/>
          <w:sz w:val="23"/>
          <w:szCs w:val="23"/>
        </w:rPr>
      </w:pPr>
    </w:p>
    <w:p w14:paraId="29D67464" w14:textId="77777777" w:rsidR="00241E70" w:rsidRPr="00241E70" w:rsidRDefault="00241E70" w:rsidP="00241E70">
      <w:pPr>
        <w:shd w:val="clear" w:color="auto" w:fill="FFFFFF"/>
        <w:spacing w:line="240" w:lineRule="auto"/>
        <w:rPr>
          <w:rFonts w:ascii="Helvetica" w:eastAsia="Times New Roman" w:hAnsi="Helvetica" w:cs="Helvetica"/>
          <w:color w:val="3F3F3F"/>
          <w:sz w:val="23"/>
          <w:szCs w:val="23"/>
        </w:rPr>
      </w:pPr>
      <w:r w:rsidRPr="00241E70">
        <w:rPr>
          <w:rFonts w:ascii="Helvetica" w:eastAsia="Times New Roman" w:hAnsi="Helvetica" w:cs="Helvetica"/>
          <w:color w:val="666666"/>
          <w:sz w:val="18"/>
          <w:szCs w:val="18"/>
        </w:rPr>
        <w:t>Source: Siemens Annual Reports, www.siemens.com.</w:t>
      </w:r>
    </w:p>
    <w:p w14:paraId="233BE484"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Since the program was primarily aiming at a similarly high level of operational excellence across the business portfolio, the program was structured on the firm and group levels. In 2007,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xml:space="preserve"> was coordinated in the Siemens corporate center by a team of seven people (excluding the customer focus program Siemens One). The team head was responsible for </w:t>
      </w:r>
      <w:r w:rsidRPr="00241E70">
        <w:rPr>
          <w:rFonts w:ascii="Helvetica" w:eastAsia="Times New Roman" w:hAnsi="Helvetica" w:cs="Helvetica"/>
          <w:color w:val="3F3F3F"/>
          <w:sz w:val="23"/>
          <w:szCs w:val="23"/>
        </w:rPr>
        <w:lastRenderedPageBreak/>
        <w:t>the firm-wide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efforts and reported directly to the Siemens managing board member overseeing the program. The role of this team was coordinating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initiatives of the different groups, further development of the overall program and single initiatives, and monitoring the progress of its implementation in the firm’s groups.</w:t>
      </w:r>
      <w:r w:rsidRPr="00241E70">
        <w:rPr>
          <w:rFonts w:ascii="Helvetica" w:eastAsia="Times New Roman" w:hAnsi="Helvetica" w:cs="Helvetica"/>
          <w:noProof/>
          <w:color w:val="006298"/>
          <w:sz w:val="23"/>
          <w:szCs w:val="23"/>
        </w:rPr>
        <w:drawing>
          <wp:inline distT="0" distB="0" distL="0" distR="0" wp14:anchorId="4E28DF45" wp14:editId="110A266C">
            <wp:extent cx="120650" cy="120650"/>
            <wp:effectExtent l="0" t="0" r="0" b="0"/>
            <wp:docPr id="6" name="Picture 6" descr="https://ng.cengage.com/static/nbapps/glossary/images/footstar.png">
              <a:hlinkClick xmlns:a="http://schemas.openxmlformats.org/drawingml/2006/main" r:id="rId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ng.cengage.com/static/nbapps/glossary/images/footstar.png">
                      <a:hlinkClick r:id="rId4"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Helvetica" w:eastAsia="Times New Roman" w:hAnsi="Helvetica" w:cs="Helvetica"/>
          <w:color w:val="3F3F3F"/>
          <w:sz w:val="23"/>
          <w:szCs w:val="23"/>
        </w:rPr>
        <w:t> For example, each of the three pillars of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innovation, customer focus,</w:t>
      </w:r>
      <w:bookmarkStart w:id="3" w:name="PageEnd_C-196"/>
      <w:bookmarkEnd w:id="3"/>
      <w:r w:rsidRPr="00241E70">
        <w:rPr>
          <w:rFonts w:ascii="Helvetica" w:eastAsia="Times New Roman" w:hAnsi="Helvetica" w:cs="Helvetica"/>
          <w:color w:val="3F3F3F"/>
          <w:sz w:val="23"/>
          <w:szCs w:val="23"/>
        </w:rPr>
        <w:t> and global competitiveness, was coordinated by one person. In addition to this central unit, several other organizational units were involved in the implementation of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First, the central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team was supported by the Siemens in-house consultancy, SMC, which employed about 160 consultants at the end of 2007. Involved in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issues from the beginning of the program, typically teams of two to six SMC consultants were assigned to single implementation efforts. Second, in each of the firm’s divisions and regional companies, one manager was responsible for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Third, for Siemens One as part of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customer focus program, a dedicated corporate-level unit within the central corporate development department was created.</w:t>
      </w:r>
    </w:p>
    <w:p w14:paraId="4BBA5AAB"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In the beginning,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rPr>
        <w:t> program was largely independent from other corporate-level programs. Over the course of its development, however, it became an integral part of the firm’s management system and more and more intertwined with other firm programs or initiatives. From July 1998 until the IPO of Siemens at the NYSE in March 2001,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was part of the </w:t>
      </w:r>
      <w:r w:rsidRPr="00241E70">
        <w:rPr>
          <w:rFonts w:ascii="Helvetica" w:eastAsia="Times New Roman" w:hAnsi="Helvetica" w:cs="Helvetica"/>
          <w:i/>
          <w:iCs/>
          <w:color w:val="3F3F3F"/>
          <w:sz w:val="23"/>
          <w:szCs w:val="23"/>
        </w:rPr>
        <w:t>Ten-Point Program</w:t>
      </w:r>
      <w:r w:rsidRPr="00241E70">
        <w:rPr>
          <w:rFonts w:ascii="Helvetica" w:eastAsia="Times New Roman" w:hAnsi="Helvetica" w:cs="Helvetica"/>
          <w:color w:val="3F3F3F"/>
          <w:sz w:val="23"/>
          <w:szCs w:val="23"/>
        </w:rPr>
        <w:t> aiming at sustainable performance improvements. Besides fostering the firm’s business excellence efforts, the Ten-Point Program included activities such as the restructuring of the semiconductor business, reorganizing the business segments, and optimizing the business portfolio.</w:t>
      </w:r>
      <w:r w:rsidRPr="00241E70">
        <w:rPr>
          <w:rFonts w:ascii="Helvetica" w:eastAsia="Times New Roman" w:hAnsi="Helvetica" w:cs="Helvetica"/>
          <w:noProof/>
          <w:color w:val="006298"/>
          <w:sz w:val="23"/>
          <w:szCs w:val="23"/>
        </w:rPr>
        <w:drawing>
          <wp:inline distT="0" distB="0" distL="0" distR="0" wp14:anchorId="4D70B43B" wp14:editId="77BF21B5">
            <wp:extent cx="120650" cy="120650"/>
            <wp:effectExtent l="0" t="0" r="0" b="0"/>
            <wp:docPr id="7" name="Picture 7" descr="https://ng.cengage.com/static/nbapps/glossary/images/footstar.png">
              <a:hlinkClick xmlns:a="http://schemas.openxmlformats.org/drawingml/2006/main" r:id="rId9"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ng.cengage.com/static/nbapps/glossary/images/footstar.png">
                      <a:hlinkClick r:id="rId8"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47352D3C"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Because of its prior success and the permanent need for methods of business excellence, Siemens top management decided to continue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initiative following the IPO. Therefore, in December 2000, the firm’s top management team defined margin targets for each group that were to be reached by fiscal 2003. Called </w:t>
      </w:r>
      <w:r w:rsidRPr="00241E70">
        <w:rPr>
          <w:rFonts w:ascii="Helvetica" w:eastAsia="Times New Roman" w:hAnsi="Helvetica" w:cs="Helvetica"/>
          <w:i/>
          <w:iCs/>
          <w:color w:val="3F3F3F"/>
          <w:sz w:val="23"/>
          <w:szCs w:val="23"/>
        </w:rPr>
        <w:t>Operation 2003</w:t>
      </w:r>
      <w:r w:rsidRPr="00241E70">
        <w:rPr>
          <w:rFonts w:ascii="Helvetica" w:eastAsia="Times New Roman" w:hAnsi="Helvetica" w:cs="Helvetica"/>
          <w:color w:val="3F3F3F"/>
          <w:sz w:val="23"/>
          <w:szCs w:val="23"/>
        </w:rPr>
        <w:t>, the new program was supposed to direct firm-wide attention to five important actions for enhancing firm</w:t>
      </w:r>
      <w:bookmarkStart w:id="4" w:name="PageEnd_C-197"/>
      <w:bookmarkEnd w:id="4"/>
      <w:r w:rsidRPr="00241E70">
        <w:rPr>
          <w:rFonts w:ascii="Helvetica" w:eastAsia="Times New Roman" w:hAnsi="Helvetica" w:cs="Helvetica"/>
          <w:color w:val="3F3F3F"/>
          <w:sz w:val="23"/>
          <w:szCs w:val="23"/>
        </w:rPr>
        <w:t> performance (increase profitability in information and communication groups; integration of recently acquired Dematic and VDO; improve profitability in US business; and asset management (reducing capital employed and improving cash flow)).</w:t>
      </w:r>
      <w:r w:rsidRPr="00241E70">
        <w:rPr>
          <w:rFonts w:ascii="Helvetica" w:eastAsia="Times New Roman" w:hAnsi="Helvetica" w:cs="Helvetica"/>
          <w:noProof/>
          <w:color w:val="006298"/>
          <w:sz w:val="23"/>
          <w:szCs w:val="23"/>
        </w:rPr>
        <w:drawing>
          <wp:inline distT="0" distB="0" distL="0" distR="0" wp14:anchorId="7A7D1AA1" wp14:editId="2C7398B0">
            <wp:extent cx="120650" cy="120650"/>
            <wp:effectExtent l="0" t="0" r="0" b="0"/>
            <wp:docPr id="8" name="Picture 8"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ng.cengage.com/static/nbapps/glossary/images/footstar.png">
                      <a:hlinkClick r:id="rId6"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5E152BD7"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At the end of 2003, the top management team emphasized even further the importance of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xml:space="preserve"> program for the success of Siemens. The program was integrated into a novel Siemens Management System (SMS), as then CEO von </w:t>
      </w:r>
      <w:proofErr w:type="spellStart"/>
      <w:r w:rsidRPr="00241E70">
        <w:rPr>
          <w:rFonts w:ascii="Helvetica" w:eastAsia="Times New Roman" w:hAnsi="Helvetica" w:cs="Helvetica"/>
          <w:color w:val="3F3F3F"/>
          <w:sz w:val="23"/>
          <w:szCs w:val="23"/>
        </w:rPr>
        <w:t>Pierer</w:t>
      </w:r>
      <w:proofErr w:type="spellEnd"/>
      <w:r w:rsidRPr="00241E70">
        <w:rPr>
          <w:rFonts w:ascii="Helvetica" w:eastAsia="Times New Roman" w:hAnsi="Helvetica" w:cs="Helvetica"/>
          <w:color w:val="3F3F3F"/>
          <w:sz w:val="23"/>
          <w:szCs w:val="23"/>
        </w:rPr>
        <w:t xml:space="preserve"> noted:</w:t>
      </w:r>
    </w:p>
    <w:p w14:paraId="6D3FB729" w14:textId="77777777" w:rsidR="00241E70" w:rsidRPr="00241E70" w:rsidRDefault="00241E70" w:rsidP="00241E70">
      <w:pPr>
        <w:shd w:val="clear" w:color="auto" w:fill="F1F1F1"/>
        <w:spacing w:line="240" w:lineRule="auto"/>
        <w:rPr>
          <w:rFonts w:ascii="Helvetica" w:eastAsia="Times New Roman" w:hAnsi="Helvetica" w:cs="Helvetica"/>
          <w:i/>
          <w:iCs/>
          <w:color w:val="3F3F3F"/>
          <w:sz w:val="23"/>
          <w:szCs w:val="23"/>
        </w:rPr>
      </w:pPr>
      <w:r w:rsidRPr="00241E70">
        <w:rPr>
          <w:rFonts w:ascii="Helvetica" w:eastAsia="Times New Roman" w:hAnsi="Helvetica" w:cs="Helvetica"/>
          <w:i/>
          <w:iCs/>
          <w:color w:val="3F3F3F"/>
          <w:sz w:val="23"/>
          <w:szCs w:val="23"/>
        </w:rPr>
        <w:t>“Besides implementing Operation 2003, we also conducted a thorough review of our management system, which we wanted to make even more transparent and easier to understand. That’s why we expanded our top+ business excellence program at the start of fiscal 2004, integrating it into a reorganized Siemens Management System. In the future, we will concentrate on three Company-wide programs – Innovation, Customer focus and Global competitiveness – into which we are incorporating all our existing initiatives and projects. We are gearing our management development and employee learning measures to support and complement these programs.”</w:t>
      </w:r>
      <w:r w:rsidRPr="00241E70">
        <w:rPr>
          <w:rFonts w:ascii="Helvetica" w:eastAsia="Times New Roman" w:hAnsi="Helvetica" w:cs="Helvetica"/>
          <w:i/>
          <w:iCs/>
          <w:noProof/>
          <w:color w:val="006298"/>
          <w:sz w:val="23"/>
          <w:szCs w:val="23"/>
        </w:rPr>
        <w:drawing>
          <wp:inline distT="0" distB="0" distL="0" distR="0" wp14:anchorId="69B557B3" wp14:editId="6CF25DF8">
            <wp:extent cx="120650" cy="120650"/>
            <wp:effectExtent l="0" t="0" r="0" b="0"/>
            <wp:docPr id="9" name="Picture 9" descr="https://ng.cengage.com/static/nbapps/glossary/images/footstar.png">
              <a:hlinkClick xmlns:a="http://schemas.openxmlformats.org/drawingml/2006/main" r:id="rId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ng.cengage.com/static/nbapps/glossary/images/footstar.png">
                      <a:hlinkClick r:id="rId4"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40629ADA"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In April 2005,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became part of the subsequently launched and more comprehensive Fit</w:t>
      </w:r>
      <w:r w:rsidRPr="00241E70">
        <w:rPr>
          <w:rFonts w:ascii="Helvetica" w:eastAsia="Times New Roman" w:hAnsi="Helvetica" w:cs="Helvetica"/>
          <w:i/>
          <w:iCs/>
          <w:color w:val="3F3F3F"/>
          <w:sz w:val="23"/>
          <w:szCs w:val="23"/>
        </w:rPr>
        <w:t>4</w:t>
      </w:r>
      <w:r w:rsidRPr="00241E70">
        <w:rPr>
          <w:rFonts w:ascii="Helvetica" w:eastAsia="Times New Roman" w:hAnsi="Helvetica" w:cs="Helvetica"/>
          <w:color w:val="3F3F3F"/>
          <w:sz w:val="23"/>
          <w:szCs w:val="23"/>
        </w:rPr>
        <w:t>More program (see </w:t>
      </w:r>
      <w:hyperlink r:id="rId10" w:history="1">
        <w:r w:rsidRPr="00241E70">
          <w:rPr>
            <w:rFonts w:ascii="Helvetica" w:eastAsia="Times New Roman" w:hAnsi="Helvetica" w:cs="Helvetica"/>
            <w:color w:val="006298"/>
            <w:sz w:val="23"/>
            <w:szCs w:val="23"/>
          </w:rPr>
          <w:t>Exhibit 4</w:t>
        </w:r>
      </w:hyperlink>
      <w:r w:rsidRPr="00241E70">
        <w:rPr>
          <w:rFonts w:ascii="Helvetica" w:eastAsia="Times New Roman" w:hAnsi="Helvetica" w:cs="Helvetica"/>
          <w:color w:val="3F3F3F"/>
          <w:sz w:val="23"/>
          <w:szCs w:val="23"/>
        </w:rPr>
        <w:t xml:space="preserve">). Building upon the four pillars of performance and portfolio, people excellence, operational excellence, and corporate responsibility, the program was designed to further strengthen the firm’s competitive position and </w:t>
      </w:r>
      <w:r w:rsidRPr="00241E70">
        <w:rPr>
          <w:rFonts w:ascii="Helvetica" w:eastAsia="Times New Roman" w:hAnsi="Helvetica" w:cs="Helvetica"/>
          <w:color w:val="3F3F3F"/>
          <w:sz w:val="23"/>
          <w:szCs w:val="23"/>
        </w:rPr>
        <w:lastRenderedPageBreak/>
        <w:t>performance. Operational excellence should be achieved with the SMS including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The Fit</w:t>
      </w:r>
      <w:r w:rsidRPr="00241E70">
        <w:rPr>
          <w:rFonts w:ascii="Helvetica" w:eastAsia="Times New Roman" w:hAnsi="Helvetica" w:cs="Helvetica"/>
          <w:i/>
          <w:iCs/>
          <w:color w:val="3F3F3F"/>
          <w:sz w:val="23"/>
          <w:szCs w:val="23"/>
        </w:rPr>
        <w:t>4</w:t>
      </w:r>
      <w:r w:rsidRPr="00241E70">
        <w:rPr>
          <w:rFonts w:ascii="Helvetica" w:eastAsia="Times New Roman" w:hAnsi="Helvetica" w:cs="Helvetica"/>
          <w:color w:val="3F3F3F"/>
          <w:sz w:val="23"/>
          <w:szCs w:val="23"/>
        </w:rPr>
        <w:t>More program was planned as a mid-term program, with a pre-defined end date in 2007. Since the firm successfully completed the program by 2007, Siemens’ top management decided to continue the program under the slightly different name Fit</w:t>
      </w:r>
      <w:r w:rsidRPr="00241E70">
        <w:rPr>
          <w:rFonts w:ascii="Helvetica" w:eastAsia="Times New Roman" w:hAnsi="Helvetica" w:cs="Helvetica"/>
          <w:i/>
          <w:iCs/>
          <w:color w:val="3F3F3F"/>
          <w:sz w:val="23"/>
          <w:szCs w:val="23"/>
        </w:rPr>
        <w:t>4</w:t>
      </w:r>
      <w:r w:rsidRPr="00241E70">
        <w:rPr>
          <w:rFonts w:ascii="Helvetica" w:eastAsia="Times New Roman" w:hAnsi="Helvetica" w:cs="Helvetica"/>
          <w:color w:val="3F3F3F"/>
          <w:sz w:val="23"/>
          <w:szCs w:val="23"/>
        </w:rPr>
        <w:t>2010 (see </w:t>
      </w:r>
      <w:hyperlink r:id="rId11" w:history="1">
        <w:r w:rsidRPr="00241E70">
          <w:rPr>
            <w:rFonts w:ascii="Helvetica" w:eastAsia="Times New Roman" w:hAnsi="Helvetica" w:cs="Helvetica"/>
            <w:color w:val="006298"/>
            <w:sz w:val="23"/>
            <w:szCs w:val="23"/>
          </w:rPr>
          <w:t>Exhibit 5</w:t>
        </w:r>
      </w:hyperlink>
      <w:r w:rsidRPr="00241E70">
        <w:rPr>
          <w:rFonts w:ascii="Helvetica" w:eastAsia="Times New Roman" w:hAnsi="Helvetica" w:cs="Helvetica"/>
          <w:color w:val="3F3F3F"/>
          <w:sz w:val="23"/>
          <w:szCs w:val="23"/>
        </w:rPr>
        <w:t>). More precisely, management’s intention was to continue to “push innovation by applying our proven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methods and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toolbox while sharpening our customer focus and enhancing our global competitiveness”.</w:t>
      </w:r>
      <w:r w:rsidRPr="00241E70">
        <w:rPr>
          <w:rFonts w:ascii="Helvetica" w:eastAsia="Times New Roman" w:hAnsi="Helvetica" w:cs="Helvetica"/>
          <w:noProof/>
          <w:color w:val="006298"/>
          <w:sz w:val="23"/>
          <w:szCs w:val="23"/>
        </w:rPr>
        <w:drawing>
          <wp:inline distT="0" distB="0" distL="0" distR="0" wp14:anchorId="290BDB2C" wp14:editId="46E3E600">
            <wp:extent cx="120650" cy="120650"/>
            <wp:effectExtent l="0" t="0" r="0" b="0"/>
            <wp:docPr id="10" name="Picture 10" descr="https://ng.cengage.com/static/nbapps/glossary/images/footstar.png">
              <a:hlinkClick xmlns:a="http://schemas.openxmlformats.org/drawingml/2006/main" r:id="rId8"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ng.cengage.com/static/nbapps/glossary/images/footstar.png">
                      <a:hlinkClick r:id="rId7"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21DB79E2" w14:textId="77777777" w:rsidR="00241E70" w:rsidRPr="00241E70" w:rsidRDefault="00241E70" w:rsidP="00241E70">
      <w:pPr>
        <w:shd w:val="clear" w:color="auto" w:fill="FFFFFF"/>
        <w:spacing w:after="150" w:line="240" w:lineRule="auto"/>
        <w:rPr>
          <w:rFonts w:ascii="Helvetica" w:eastAsia="Times New Roman" w:hAnsi="Helvetica" w:cs="Helvetica"/>
          <w:b/>
          <w:bCs/>
          <w:color w:val="C15827"/>
          <w:sz w:val="23"/>
          <w:szCs w:val="23"/>
        </w:rPr>
      </w:pPr>
      <w:r w:rsidRPr="00241E70">
        <w:rPr>
          <w:rFonts w:ascii="Helvetica" w:eastAsia="Times New Roman" w:hAnsi="Helvetica" w:cs="Helvetica"/>
          <w:b/>
          <w:bCs/>
          <w:color w:val="C15827"/>
          <w:sz w:val="23"/>
          <w:szCs w:val="23"/>
        </w:rPr>
        <w:t>Exhibit 4</w:t>
      </w:r>
      <w:r w:rsidRPr="00241E70">
        <w:rPr>
          <w:rFonts w:ascii="Helvetica" w:eastAsia="Times New Roman" w:hAnsi="Helvetica" w:cs="Helvetica"/>
          <w:b/>
          <w:bCs/>
          <w:color w:val="000000"/>
          <w:sz w:val="25"/>
          <w:szCs w:val="25"/>
        </w:rPr>
        <w:t>Elements of Fit</w:t>
      </w:r>
      <w:r w:rsidRPr="00241E70">
        <w:rPr>
          <w:rFonts w:ascii="Helvetica" w:eastAsia="Times New Roman" w:hAnsi="Helvetica" w:cs="Helvetica"/>
          <w:b/>
          <w:bCs/>
          <w:i/>
          <w:iCs/>
          <w:color w:val="000000"/>
          <w:sz w:val="25"/>
          <w:szCs w:val="25"/>
        </w:rPr>
        <w:t>4</w:t>
      </w:r>
      <w:r w:rsidRPr="00241E70">
        <w:rPr>
          <w:rFonts w:ascii="Helvetica" w:eastAsia="Times New Roman" w:hAnsi="Helvetica" w:cs="Helvetica"/>
          <w:b/>
          <w:bCs/>
          <w:color w:val="000000"/>
          <w:sz w:val="25"/>
          <w:szCs w:val="25"/>
        </w:rPr>
        <w:t> More</w:t>
      </w:r>
    </w:p>
    <w:p w14:paraId="7BDFA106" w14:textId="77777777" w:rsidR="00241E70" w:rsidRPr="00241E70" w:rsidRDefault="00241E70" w:rsidP="00241E70">
      <w:pPr>
        <w:shd w:val="clear" w:color="auto" w:fill="FFFFFF"/>
        <w:spacing w:line="240" w:lineRule="auto"/>
        <w:rPr>
          <w:rFonts w:ascii="Helvetica" w:eastAsia="Times New Roman" w:hAnsi="Helvetica" w:cs="Helvetica"/>
          <w:color w:val="3F3F3F"/>
          <w:sz w:val="23"/>
          <w:szCs w:val="23"/>
        </w:rPr>
      </w:pPr>
    </w:p>
    <w:p w14:paraId="4D315FC9" w14:textId="77777777" w:rsidR="00241E70" w:rsidRPr="00241E70" w:rsidRDefault="00241E70" w:rsidP="00241E70">
      <w:pPr>
        <w:shd w:val="clear" w:color="auto" w:fill="FFFFFF"/>
        <w:spacing w:line="240" w:lineRule="auto"/>
        <w:rPr>
          <w:rFonts w:ascii="Helvetica" w:eastAsia="Times New Roman" w:hAnsi="Helvetica" w:cs="Helvetica"/>
          <w:color w:val="3F3F3F"/>
          <w:sz w:val="23"/>
          <w:szCs w:val="23"/>
        </w:rPr>
      </w:pPr>
      <w:r w:rsidRPr="00241E70">
        <w:rPr>
          <w:rFonts w:ascii="Helvetica" w:eastAsia="Times New Roman" w:hAnsi="Helvetica" w:cs="Helvetica"/>
          <w:color w:val="666666"/>
          <w:sz w:val="18"/>
          <w:szCs w:val="18"/>
        </w:rPr>
        <w:t>Source: Presentation of Klaus Kleinfeld at EPG Conference, May 2005.</w:t>
      </w:r>
    </w:p>
    <w:p w14:paraId="7A347E8E" w14:textId="77777777" w:rsidR="00241E70" w:rsidRPr="00241E70" w:rsidRDefault="00241E70" w:rsidP="00241E70">
      <w:pPr>
        <w:shd w:val="clear" w:color="auto" w:fill="FFFFFF"/>
        <w:spacing w:after="150" w:line="240" w:lineRule="auto"/>
        <w:rPr>
          <w:rFonts w:ascii="Helvetica" w:eastAsia="Times New Roman" w:hAnsi="Helvetica" w:cs="Helvetica"/>
          <w:b/>
          <w:bCs/>
          <w:color w:val="C15827"/>
          <w:sz w:val="23"/>
          <w:szCs w:val="23"/>
        </w:rPr>
      </w:pPr>
      <w:r w:rsidRPr="00241E70">
        <w:rPr>
          <w:rFonts w:ascii="Helvetica" w:eastAsia="Times New Roman" w:hAnsi="Helvetica" w:cs="Helvetica"/>
          <w:b/>
          <w:bCs/>
          <w:color w:val="C15827"/>
          <w:sz w:val="23"/>
          <w:szCs w:val="23"/>
        </w:rPr>
        <w:t>Exhibit 5</w:t>
      </w:r>
      <w:r w:rsidRPr="00241E70">
        <w:rPr>
          <w:rFonts w:ascii="Helvetica" w:eastAsia="Times New Roman" w:hAnsi="Helvetica" w:cs="Helvetica"/>
          <w:b/>
          <w:bCs/>
          <w:color w:val="000000"/>
          <w:sz w:val="25"/>
          <w:szCs w:val="25"/>
        </w:rPr>
        <w:t>Elements of Fit</w:t>
      </w:r>
      <w:r w:rsidRPr="00241E70">
        <w:rPr>
          <w:rFonts w:ascii="Helvetica" w:eastAsia="Times New Roman" w:hAnsi="Helvetica" w:cs="Helvetica"/>
          <w:b/>
          <w:bCs/>
          <w:i/>
          <w:iCs/>
          <w:color w:val="000000"/>
          <w:sz w:val="25"/>
          <w:szCs w:val="25"/>
        </w:rPr>
        <w:t>4</w:t>
      </w:r>
      <w:r w:rsidRPr="00241E70">
        <w:rPr>
          <w:rFonts w:ascii="Helvetica" w:eastAsia="Times New Roman" w:hAnsi="Helvetica" w:cs="Helvetica"/>
          <w:b/>
          <w:bCs/>
          <w:color w:val="000000"/>
          <w:sz w:val="25"/>
          <w:szCs w:val="25"/>
        </w:rPr>
        <w:t>2010</w:t>
      </w:r>
    </w:p>
    <w:p w14:paraId="4AE7F3F0" w14:textId="77777777" w:rsidR="00241E70" w:rsidRPr="00241E70" w:rsidRDefault="00241E70" w:rsidP="00241E70">
      <w:pPr>
        <w:shd w:val="clear" w:color="auto" w:fill="FFFFFF"/>
        <w:spacing w:line="240" w:lineRule="auto"/>
        <w:rPr>
          <w:rFonts w:ascii="Helvetica" w:eastAsia="Times New Roman" w:hAnsi="Helvetica" w:cs="Helvetica"/>
          <w:color w:val="3F3F3F"/>
          <w:sz w:val="23"/>
          <w:szCs w:val="23"/>
        </w:rPr>
      </w:pPr>
    </w:p>
    <w:p w14:paraId="3F861CD3" w14:textId="77777777" w:rsidR="00241E70" w:rsidRPr="00241E70" w:rsidRDefault="00241E70" w:rsidP="00241E70">
      <w:pPr>
        <w:pStyle w:val="Heading2"/>
        <w:shd w:val="clear" w:color="auto" w:fill="FFFFFF"/>
        <w:rPr>
          <w:rFonts w:ascii="Helvetica" w:eastAsia="Times New Roman" w:hAnsi="Helvetica" w:cs="Helvetica"/>
          <w:b/>
          <w:bCs/>
          <w:color w:val="3F3F3F"/>
          <w:sz w:val="28"/>
          <w:szCs w:val="28"/>
        </w:rPr>
      </w:pPr>
      <w:r w:rsidRPr="00241E70">
        <w:rPr>
          <w:rFonts w:ascii="Helvetica" w:eastAsia="Times New Roman" w:hAnsi="Helvetica" w:cs="Helvetica"/>
          <w:color w:val="666666"/>
          <w:sz w:val="18"/>
          <w:szCs w:val="18"/>
        </w:rPr>
        <w:t>Source: Siem</w:t>
      </w:r>
      <w:r w:rsidRPr="00241E70">
        <w:rPr>
          <w:rFonts w:ascii="Helvetica" w:eastAsia="Times New Roman" w:hAnsi="Helvetica" w:cs="Helvetica"/>
          <w:b/>
          <w:bCs/>
          <w:color w:val="3F3F3F"/>
          <w:sz w:val="28"/>
          <w:szCs w:val="28"/>
        </w:rPr>
        <w:t>15-3b Purpose and Content of the </w:t>
      </w:r>
      <w:r w:rsidRPr="00241E70">
        <w:rPr>
          <w:rFonts w:ascii="Helvetica" w:eastAsia="Times New Roman" w:hAnsi="Helvetica" w:cs="Helvetica"/>
          <w:b/>
          <w:bCs/>
          <w:i/>
          <w:iCs/>
          <w:color w:val="3F3F3F"/>
          <w:sz w:val="28"/>
          <w:szCs w:val="28"/>
        </w:rPr>
        <w:t>top</w:t>
      </w:r>
      <w:r w:rsidRPr="00241E70">
        <w:rPr>
          <w:rFonts w:ascii="Helvetica" w:eastAsia="Times New Roman" w:hAnsi="Helvetica" w:cs="Helvetica"/>
          <w:b/>
          <w:bCs/>
          <w:color w:val="3F3F3F"/>
          <w:sz w:val="28"/>
          <w:szCs w:val="28"/>
          <w:vertAlign w:val="superscript"/>
        </w:rPr>
        <w:t>+</w:t>
      </w:r>
      <w:r w:rsidRPr="00241E70">
        <w:rPr>
          <w:rFonts w:ascii="Helvetica" w:eastAsia="Times New Roman" w:hAnsi="Helvetica" w:cs="Helvetica"/>
          <w:b/>
          <w:bCs/>
          <w:color w:val="3F3F3F"/>
          <w:sz w:val="28"/>
          <w:szCs w:val="28"/>
        </w:rPr>
        <w:t> Program</w:t>
      </w:r>
    </w:p>
    <w:p w14:paraId="170C8DF1"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The overall purpose of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program was to increase EVA (economic value added) of the different operating groups and thus of the overall firm.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program comprised several different initiatives, projects, instruments, and tools targeting at profitable firm growth. The operating groups were supposed to implement the tools in order to exploit synergies.</w:t>
      </w:r>
      <w:r w:rsidRPr="00241E70">
        <w:rPr>
          <w:rFonts w:ascii="Helvetica" w:eastAsia="Times New Roman" w:hAnsi="Helvetica" w:cs="Helvetica"/>
          <w:noProof/>
          <w:color w:val="006298"/>
          <w:sz w:val="23"/>
          <w:szCs w:val="23"/>
        </w:rPr>
        <w:drawing>
          <wp:inline distT="0" distB="0" distL="0" distR="0" wp14:anchorId="2FFB5EA0" wp14:editId="5969E4AF">
            <wp:extent cx="120650" cy="120650"/>
            <wp:effectExtent l="0" t="0" r="0" b="0"/>
            <wp:docPr id="11" name="Picture 11" descr="https://ng.cengage.com/static/nbapps/glossary/images/footstar.png">
              <a:hlinkClick xmlns:a="http://schemas.openxmlformats.org/drawingml/2006/main" r:id="rId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ng.cengage.com/static/nbapps/glossary/images/footstar.png">
                      <a:hlinkClick r:id="rId6"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Helvetica" w:eastAsia="Times New Roman" w:hAnsi="Helvetica" w:cs="Helvetica"/>
          <w:color w:val="3F3F3F"/>
          <w:sz w:val="23"/>
          <w:szCs w:val="23"/>
        </w:rPr>
        <w:t> More precisely, Siemens’ top management defined innovation, customer focus, and global competitiveness as targets and sub-programs of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These sub-programs constituted the focal issues of the overall management innovation program. They continuously guided the overall action and were characterized by rather broad firm-level targets. As indicated in </w:t>
      </w:r>
      <w:hyperlink r:id="rId12" w:history="1">
        <w:r w:rsidRPr="00241E70">
          <w:rPr>
            <w:rFonts w:ascii="Helvetica" w:eastAsia="Times New Roman" w:hAnsi="Helvetica" w:cs="Helvetica"/>
            <w:color w:val="006298"/>
            <w:sz w:val="23"/>
            <w:szCs w:val="23"/>
          </w:rPr>
          <w:t>Exhibit 6</w:t>
        </w:r>
      </w:hyperlink>
      <w:r w:rsidRPr="00241E70">
        <w:rPr>
          <w:rFonts w:ascii="Helvetica" w:eastAsia="Times New Roman" w:hAnsi="Helvetica" w:cs="Helvetica"/>
          <w:color w:val="3F3F3F"/>
          <w:sz w:val="23"/>
          <w:szCs w:val="23"/>
        </w:rPr>
        <w:t>, under the umbrella of the three sub-programs, 11 initiatives were defined. First, the </w:t>
      </w:r>
      <w:r w:rsidRPr="00241E70">
        <w:rPr>
          <w:rFonts w:ascii="Helvetica" w:eastAsia="Times New Roman" w:hAnsi="Helvetica" w:cs="Helvetica"/>
          <w:i/>
          <w:iCs/>
          <w:color w:val="3F3F3F"/>
          <w:sz w:val="23"/>
          <w:szCs w:val="23"/>
        </w:rPr>
        <w:t>innovation</w:t>
      </w:r>
      <w:r w:rsidRPr="00241E70">
        <w:rPr>
          <w:rFonts w:ascii="Helvetica" w:eastAsia="Times New Roman" w:hAnsi="Helvetica" w:cs="Helvetica"/>
          <w:color w:val="3F3F3F"/>
          <w:sz w:val="23"/>
          <w:szCs w:val="23"/>
        </w:rPr>
        <w:t> program included technology platforms and trendsetting technologies:</w:t>
      </w:r>
    </w:p>
    <w:p w14:paraId="57AE0E5F" w14:textId="77777777" w:rsidR="00241E70" w:rsidRPr="00241E70" w:rsidRDefault="00241E70" w:rsidP="00241E70">
      <w:pPr>
        <w:shd w:val="clear" w:color="auto" w:fill="F1F1F1"/>
        <w:spacing w:line="240" w:lineRule="auto"/>
        <w:rPr>
          <w:rFonts w:ascii="Helvetica" w:eastAsia="Times New Roman" w:hAnsi="Helvetica" w:cs="Helvetica"/>
          <w:i/>
          <w:iCs/>
          <w:color w:val="3F3F3F"/>
          <w:sz w:val="23"/>
          <w:szCs w:val="23"/>
        </w:rPr>
      </w:pPr>
      <w:r w:rsidRPr="00241E70">
        <w:rPr>
          <w:rFonts w:ascii="Helvetica" w:eastAsia="Times New Roman" w:hAnsi="Helvetica" w:cs="Helvetica"/>
          <w:i/>
          <w:iCs/>
          <w:color w:val="3F3F3F"/>
          <w:sz w:val="23"/>
          <w:szCs w:val="23"/>
        </w:rPr>
        <w:t>“Our company-wide top+ Innovation Program is providing new momentum in our drive to fully leverage our synergy potentials. Initial results include cross-product technology</w:t>
      </w:r>
      <w:bookmarkStart w:id="5" w:name="PageEnd_C-198"/>
      <w:bookmarkEnd w:id="5"/>
      <w:r w:rsidRPr="00241E70">
        <w:rPr>
          <w:rFonts w:ascii="Helvetica" w:eastAsia="Times New Roman" w:hAnsi="Helvetica" w:cs="Helvetica"/>
          <w:i/>
          <w:iCs/>
          <w:color w:val="3F3F3F"/>
          <w:sz w:val="23"/>
          <w:szCs w:val="23"/>
        </w:rPr>
        <w:t> platforms for remote services; a uniform controls architecture for applications ranging from power plants and railway systems to industrial controls and communications networks; and systematic best practice sharing of the kind that has long characterized our software initiative. By moving toward technological leadership in all our businesses, we are also strengthening our customer focus and global competitiveness.”</w:t>
      </w:r>
      <w:r w:rsidRPr="00241E70">
        <w:rPr>
          <w:rFonts w:ascii="Helvetica" w:eastAsia="Times New Roman" w:hAnsi="Helvetica" w:cs="Helvetica"/>
          <w:i/>
          <w:iCs/>
          <w:noProof/>
          <w:color w:val="006298"/>
          <w:sz w:val="23"/>
          <w:szCs w:val="23"/>
        </w:rPr>
        <w:drawing>
          <wp:inline distT="0" distB="0" distL="0" distR="0" wp14:anchorId="4E76EF21" wp14:editId="43C0B1DC">
            <wp:extent cx="120650" cy="120650"/>
            <wp:effectExtent l="0" t="0" r="0" b="0"/>
            <wp:docPr id="12" name="Picture 12" descr="https://ng.cengage.com/static/nbapps/glossary/images/footstar.png">
              <a:hlinkClick xmlns:a="http://schemas.openxmlformats.org/drawingml/2006/main" r:id="rId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ng.cengage.com/static/nbapps/glossary/images/footstar.png">
                      <a:hlinkClick r:id="rId6"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4B6A38B7" w14:textId="77777777" w:rsidR="00241E70" w:rsidRPr="00241E70" w:rsidRDefault="00241E70" w:rsidP="00241E70">
      <w:pPr>
        <w:shd w:val="clear" w:color="auto" w:fill="FFFFFF"/>
        <w:spacing w:after="150" w:line="240" w:lineRule="auto"/>
        <w:rPr>
          <w:rFonts w:ascii="Helvetica" w:eastAsia="Times New Roman" w:hAnsi="Helvetica" w:cs="Helvetica"/>
          <w:b/>
          <w:bCs/>
          <w:color w:val="C15827"/>
          <w:sz w:val="23"/>
          <w:szCs w:val="23"/>
        </w:rPr>
      </w:pPr>
      <w:r w:rsidRPr="00241E70">
        <w:rPr>
          <w:rFonts w:ascii="Helvetica" w:eastAsia="Times New Roman" w:hAnsi="Helvetica" w:cs="Helvetica"/>
          <w:b/>
          <w:bCs/>
          <w:color w:val="C15827"/>
          <w:sz w:val="23"/>
          <w:szCs w:val="23"/>
        </w:rPr>
        <w:t>Exhibit 6</w:t>
      </w:r>
      <w:r w:rsidRPr="00241E70">
        <w:rPr>
          <w:rFonts w:ascii="Helvetica" w:eastAsia="Times New Roman" w:hAnsi="Helvetica" w:cs="Helvetica"/>
          <w:b/>
          <w:bCs/>
          <w:color w:val="000000"/>
          <w:sz w:val="25"/>
          <w:szCs w:val="25"/>
        </w:rPr>
        <w:t>Sub-Programs and Initiatives of Siemens </w:t>
      </w:r>
      <w:r w:rsidRPr="00241E70">
        <w:rPr>
          <w:rFonts w:ascii="Helvetica" w:eastAsia="Times New Roman" w:hAnsi="Helvetica" w:cs="Helvetica"/>
          <w:b/>
          <w:bCs/>
          <w:i/>
          <w:iCs/>
          <w:color w:val="000000"/>
          <w:sz w:val="25"/>
          <w:szCs w:val="25"/>
        </w:rPr>
        <w:t>top</w:t>
      </w:r>
      <w:r w:rsidRPr="00241E70">
        <w:rPr>
          <w:rFonts w:ascii="Helvetica" w:eastAsia="Times New Roman" w:hAnsi="Helvetica" w:cs="Helvetica"/>
          <w:b/>
          <w:bCs/>
          <w:color w:val="000000"/>
          <w:sz w:val="25"/>
          <w:szCs w:val="25"/>
          <w:vertAlign w:val="superscript"/>
        </w:rPr>
        <w:t>+</w:t>
      </w:r>
    </w:p>
    <w:p w14:paraId="450E9507" w14:textId="77777777" w:rsidR="00241E70" w:rsidRPr="00241E70" w:rsidRDefault="00241E70" w:rsidP="00241E70">
      <w:pPr>
        <w:shd w:val="clear" w:color="auto" w:fill="FFFFFF"/>
        <w:spacing w:line="240" w:lineRule="auto"/>
        <w:rPr>
          <w:rFonts w:ascii="Helvetica" w:eastAsia="Times New Roman" w:hAnsi="Helvetica" w:cs="Helvetica"/>
          <w:color w:val="3F3F3F"/>
          <w:sz w:val="23"/>
          <w:szCs w:val="23"/>
        </w:rPr>
      </w:pPr>
    </w:p>
    <w:p w14:paraId="5B78117F" w14:textId="77777777" w:rsidR="00241E70" w:rsidRPr="00241E70" w:rsidRDefault="00241E70" w:rsidP="00241E70">
      <w:pPr>
        <w:shd w:val="clear" w:color="auto" w:fill="FFFFFF"/>
        <w:spacing w:line="240" w:lineRule="auto"/>
        <w:rPr>
          <w:rFonts w:ascii="Helvetica" w:eastAsia="Times New Roman" w:hAnsi="Helvetica" w:cs="Helvetica"/>
          <w:color w:val="3F3F3F"/>
          <w:sz w:val="23"/>
          <w:szCs w:val="23"/>
        </w:rPr>
      </w:pPr>
      <w:r w:rsidRPr="00241E70">
        <w:rPr>
          <w:rFonts w:ascii="Helvetica" w:eastAsia="Times New Roman" w:hAnsi="Helvetica" w:cs="Helvetica"/>
          <w:color w:val="666666"/>
          <w:sz w:val="18"/>
          <w:szCs w:val="18"/>
        </w:rPr>
        <w:t xml:space="preserve">Source: </w:t>
      </w:r>
      <w:proofErr w:type="spellStart"/>
      <w:r w:rsidRPr="00241E70">
        <w:rPr>
          <w:rFonts w:ascii="Helvetica" w:eastAsia="Times New Roman" w:hAnsi="Helvetica" w:cs="Helvetica"/>
          <w:color w:val="666666"/>
          <w:sz w:val="18"/>
          <w:szCs w:val="18"/>
        </w:rPr>
        <w:t>Feldmayer</w:t>
      </w:r>
      <w:proofErr w:type="spellEnd"/>
      <w:r w:rsidRPr="00241E70">
        <w:rPr>
          <w:rFonts w:ascii="Helvetica" w:eastAsia="Times New Roman" w:hAnsi="Helvetica" w:cs="Helvetica"/>
          <w:color w:val="666666"/>
          <w:sz w:val="18"/>
          <w:szCs w:val="18"/>
        </w:rPr>
        <w:t xml:space="preserve"> 2006</w:t>
      </w:r>
    </w:p>
    <w:p w14:paraId="28441AD1"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Second, </w:t>
      </w:r>
      <w:r w:rsidRPr="00241E70">
        <w:rPr>
          <w:rFonts w:ascii="Helvetica" w:eastAsia="Times New Roman" w:hAnsi="Helvetica" w:cs="Helvetica"/>
          <w:i/>
          <w:iCs/>
          <w:color w:val="3F3F3F"/>
          <w:sz w:val="23"/>
          <w:szCs w:val="23"/>
        </w:rPr>
        <w:t>customer focus</w:t>
      </w:r>
      <w:r w:rsidRPr="00241E70">
        <w:rPr>
          <w:rFonts w:ascii="Helvetica" w:eastAsia="Times New Roman" w:hAnsi="Helvetica" w:cs="Helvetica"/>
          <w:color w:val="3F3F3F"/>
          <w:sz w:val="23"/>
          <w:szCs w:val="23"/>
        </w:rPr>
        <w:t> was comprised of the customer acquisition and the cross-selling initiative. Third, </w:t>
      </w:r>
      <w:r w:rsidRPr="00241E70">
        <w:rPr>
          <w:rFonts w:ascii="Helvetica" w:eastAsia="Times New Roman" w:hAnsi="Helvetica" w:cs="Helvetica"/>
          <w:i/>
          <w:iCs/>
          <w:color w:val="3F3F3F"/>
          <w:sz w:val="23"/>
          <w:szCs w:val="23"/>
        </w:rPr>
        <w:t>global competitiveness</w:t>
      </w:r>
      <w:r w:rsidRPr="00241E70">
        <w:rPr>
          <w:rFonts w:ascii="Helvetica" w:eastAsia="Times New Roman" w:hAnsi="Helvetica" w:cs="Helvetica"/>
          <w:color w:val="3F3F3F"/>
          <w:sz w:val="23"/>
          <w:szCs w:val="23"/>
        </w:rPr>
        <w:t> encompassed the software initiative, project management, a global production concept, shared services, and asset management. In addition to the initiatives relating exclusively to one of the sub-programs, the service and the quality initiative</w:t>
      </w:r>
      <w:bookmarkStart w:id="6" w:name="PageEnd_C-199"/>
      <w:bookmarkEnd w:id="6"/>
      <w:r w:rsidRPr="00241E70">
        <w:rPr>
          <w:rFonts w:ascii="Helvetica" w:eastAsia="Times New Roman" w:hAnsi="Helvetica" w:cs="Helvetica"/>
          <w:color w:val="3F3F3F"/>
          <w:sz w:val="23"/>
          <w:szCs w:val="23"/>
        </w:rPr>
        <w:t xml:space="preserve"> concerned all sub-programs. The 11 initiatives, which were characterized by precise planning and a relatively clear performance orientation, were mandatory for all </w:t>
      </w:r>
      <w:r w:rsidRPr="00241E70">
        <w:rPr>
          <w:rFonts w:ascii="Helvetica" w:eastAsia="Times New Roman" w:hAnsi="Helvetica" w:cs="Helvetica"/>
          <w:color w:val="3F3F3F"/>
          <w:sz w:val="23"/>
          <w:szCs w:val="23"/>
        </w:rPr>
        <w:lastRenderedPageBreak/>
        <w:t>Siemens groups. Further, they were managed and monitored by the firm’s corporate center and required regular reporting to the Siemens managing board.</w:t>
      </w:r>
      <w:r w:rsidRPr="00241E70">
        <w:rPr>
          <w:rFonts w:ascii="Helvetica" w:eastAsia="Times New Roman" w:hAnsi="Helvetica" w:cs="Helvetica"/>
          <w:noProof/>
          <w:color w:val="006298"/>
          <w:sz w:val="23"/>
          <w:szCs w:val="23"/>
        </w:rPr>
        <w:drawing>
          <wp:inline distT="0" distB="0" distL="0" distR="0" wp14:anchorId="52741BD7" wp14:editId="4B5CD58E">
            <wp:extent cx="120650" cy="120650"/>
            <wp:effectExtent l="0" t="0" r="0" b="0"/>
            <wp:docPr id="13" name="Picture 13" descr="https://ng.cengage.com/static/nbapps/glossary/images/footstar.png">
              <a:hlinkClick xmlns:a="http://schemas.openxmlformats.org/drawingml/2006/main" r:id="rId10"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ng.cengage.com/static/nbapps/glossary/images/footstar.png">
                      <a:hlinkClick r:id="rId10"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57C58A0F"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Each of the initiatives comprised one or more projects with a precise task. The group’s respective management allocated resources (e.g., budget, human resources) to the projects. The projects were meant to lead to measurable results, and project progress was reported in a decentralized manner. Examples of concrete projects are a novel drive concept in the A&amp;D division as part of the technology platform initiative, or the Bangkok international airport as part of the cross-selling initiative (i.e. Siemens One).</w:t>
      </w:r>
      <w:r w:rsidRPr="00241E70">
        <w:rPr>
          <w:rFonts w:ascii="Helvetica" w:eastAsia="Times New Roman" w:hAnsi="Helvetica" w:cs="Helvetica"/>
          <w:noProof/>
          <w:color w:val="006298"/>
          <w:sz w:val="23"/>
          <w:szCs w:val="23"/>
        </w:rPr>
        <w:drawing>
          <wp:inline distT="0" distB="0" distL="0" distR="0" wp14:anchorId="4379893E" wp14:editId="2892F581">
            <wp:extent cx="120650" cy="120650"/>
            <wp:effectExtent l="0" t="0" r="0" b="0"/>
            <wp:docPr id="14" name="Picture 14" descr="https://ng.cengage.com/static/nbapps/glossary/images/footstar.png">
              <a:hlinkClick xmlns:a="http://schemas.openxmlformats.org/drawingml/2006/main" r:id="rId9"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ng.cengage.com/static/nbapps/glossary/images/footstar.png">
                      <a:hlinkClick r:id="rId8"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504E3BE3"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While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itself can be considered a management innovation, it has been also a program for managing the appropriate use of partially new management instruments and tools and thus also enabled management innovation. From the beginning of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rPr>
        <w:t>/</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program onward, management tools have been an integral part to achieve business excellence. Because management frequently emphasized the importance of tools for the success of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the program has been often referred to as “tool kit”. A definition of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in the Siemens Annual Report 2001 illustrates this focus:</w:t>
      </w:r>
    </w:p>
    <w:p w14:paraId="645C5685" w14:textId="77777777" w:rsidR="00241E70" w:rsidRPr="00241E70" w:rsidRDefault="00241E70" w:rsidP="00241E70">
      <w:pPr>
        <w:shd w:val="clear" w:color="auto" w:fill="F1F1F1"/>
        <w:spacing w:line="240" w:lineRule="auto"/>
        <w:rPr>
          <w:rFonts w:ascii="Helvetica" w:eastAsia="Times New Roman" w:hAnsi="Helvetica" w:cs="Helvetica"/>
          <w:i/>
          <w:iCs/>
          <w:color w:val="3F3F3F"/>
          <w:sz w:val="23"/>
          <w:szCs w:val="23"/>
        </w:rPr>
      </w:pPr>
      <w:r w:rsidRPr="00241E70">
        <w:rPr>
          <w:rFonts w:ascii="Helvetica" w:eastAsia="Times New Roman" w:hAnsi="Helvetica" w:cs="Helvetica"/>
          <w:i/>
          <w:iCs/>
          <w:color w:val="3F3F3F"/>
          <w:sz w:val="23"/>
          <w:szCs w:val="23"/>
        </w:rPr>
        <w:t>“top+ is our company-wide program to achieve sustained growth in profitability. To improve the performance of our businesses, we apply tried and tested methods – e.g. cost reduction, sales stimulation, quality enhancement and asset management. The motto of top+ is: Clear goals, concrete measures, rigorous consequences. We continually monitor the effectiveness of our top+ activities.”</w:t>
      </w:r>
      <w:r w:rsidRPr="00241E70">
        <w:rPr>
          <w:rFonts w:ascii="Helvetica" w:eastAsia="Times New Roman" w:hAnsi="Helvetica" w:cs="Helvetica"/>
          <w:i/>
          <w:iCs/>
          <w:noProof/>
          <w:color w:val="006298"/>
          <w:sz w:val="23"/>
          <w:szCs w:val="23"/>
        </w:rPr>
        <w:drawing>
          <wp:inline distT="0" distB="0" distL="0" distR="0" wp14:anchorId="28E11182" wp14:editId="5D69722E">
            <wp:extent cx="120650" cy="120650"/>
            <wp:effectExtent l="0" t="0" r="0" b="0"/>
            <wp:docPr id="15" name="Picture 15"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ng.cengage.com/static/nbapps/glossary/images/footstar.png">
                      <a:hlinkClick r:id="rId12"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45700B1A"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In 2002, the program contained 11 different management tools: corporate plan/business plan dialogue; balanced scorecards; knowledge management; leadership and co-operation; innovation; cost effectiveness; sales stimulation; asset management.</w:t>
      </w:r>
      <w:r w:rsidRPr="00241E70">
        <w:rPr>
          <w:rFonts w:ascii="Helvetica" w:eastAsia="Times New Roman" w:hAnsi="Helvetica" w:cs="Helvetica"/>
          <w:noProof/>
          <w:color w:val="006298"/>
          <w:sz w:val="23"/>
          <w:szCs w:val="23"/>
        </w:rPr>
        <w:drawing>
          <wp:inline distT="0" distB="0" distL="0" distR="0" wp14:anchorId="314E3344" wp14:editId="20118867">
            <wp:extent cx="120650" cy="120650"/>
            <wp:effectExtent l="0" t="0" r="0" b="0"/>
            <wp:docPr id="16" name="Picture 16" descr="https://ng.cengage.com/static/nbapps/glossary/images/footstar.png">
              <a:hlinkClick xmlns:a="http://schemas.openxmlformats.org/drawingml/2006/main" r:id="rId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ng.cengage.com/static/nbapps/glossary/images/footstar.png">
                      <a:hlinkClick r:id="rId6"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Helvetica" w:eastAsia="Times New Roman" w:hAnsi="Helvetica" w:cs="Helvetica"/>
          <w:color w:val="3F3F3F"/>
          <w:sz w:val="23"/>
          <w:szCs w:val="23"/>
        </w:rPr>
        <w:t> As the names of some of the tools indicate, they were partly identical with the above-mentioned initiatives. Other management instruments and techniques, however, were even more generic and similarly applicable for several initiatives. An example of the latter was the introduction of knowledge management with corresponding tools such as databases, etc. It was used in most of the initiatives, for example, in the project management and the service initiative. On the other hand, the asset management initiative consisted almost exclusively of a new and standardized approach to asset management and thus of a single management innovation. This initiative was concerned with “the process of managing corporate assets in order to enhance operational efficiency while minimizing costs and associated risks”.</w:t>
      </w:r>
      <w:r w:rsidRPr="00241E70">
        <w:rPr>
          <w:rFonts w:ascii="Helvetica" w:eastAsia="Times New Roman" w:hAnsi="Helvetica" w:cs="Helvetica"/>
          <w:noProof/>
          <w:color w:val="006298"/>
          <w:sz w:val="23"/>
          <w:szCs w:val="23"/>
        </w:rPr>
        <w:drawing>
          <wp:inline distT="0" distB="0" distL="0" distR="0" wp14:anchorId="5BAAA2F2" wp14:editId="3C39FB5A">
            <wp:extent cx="120650" cy="120650"/>
            <wp:effectExtent l="0" t="0" r="0" b="0"/>
            <wp:docPr id="17" name="Picture 17" descr="https://ng.cengage.com/static/nbapps/glossary/images/footstar.png">
              <a:hlinkClick xmlns:a="http://schemas.openxmlformats.org/drawingml/2006/main" r:id="rId10"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ng.cengage.com/static/nbapps/glossary/images/footstar.png">
                      <a:hlinkClick r:id="rId10"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Helvetica" w:eastAsia="Times New Roman" w:hAnsi="Helvetica" w:cs="Helvetica"/>
          <w:color w:val="3F3F3F"/>
          <w:sz w:val="23"/>
          <w:szCs w:val="23"/>
        </w:rPr>
        <w:t> In sum, Siemens top management emphasized the importance of uniform firm-wide processes and methods that were designed to enhance business success.</w:t>
      </w:r>
      <w:r w:rsidRPr="00241E70">
        <w:rPr>
          <w:rFonts w:ascii="Helvetica" w:eastAsia="Times New Roman" w:hAnsi="Helvetica" w:cs="Helvetica"/>
          <w:noProof/>
          <w:color w:val="006298"/>
          <w:sz w:val="23"/>
          <w:szCs w:val="23"/>
        </w:rPr>
        <w:drawing>
          <wp:inline distT="0" distB="0" distL="0" distR="0" wp14:anchorId="176C7295" wp14:editId="36746B29">
            <wp:extent cx="120650" cy="120650"/>
            <wp:effectExtent l="0" t="0" r="0" b="0"/>
            <wp:docPr id="18" name="Picture 18" descr="https://ng.cengage.com/static/nbapps/glossary/images/footstar.png">
              <a:hlinkClick xmlns:a="http://schemas.openxmlformats.org/drawingml/2006/main" r:id="rId9"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ng.cengage.com/static/nbapps/glossary/images/footstar.png">
                      <a:hlinkClick r:id="rId8"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7666B5AA"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Interestingly, the focus of the overall program varied not only over time because of the changing organizational and environmental conditions, but also differed from group to group (and from region to region). First, over the course of the initiative, the priorities of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xml:space="preserve"> program shifted from more efficiency-oriented initiatives such as asset management in the late 1990s toward the inclusion of growth-oriented initiatives in the program areas of innovation and customer focus that were facilitated by tools such as benchmarking and knowledge management. In addition, various other aspects were included in the program. For example, since software had become increasingly important for all Siemens businesses, a systematic qualification improvement program for the firm’s </w:t>
      </w:r>
      <w:r w:rsidRPr="00241E70">
        <w:rPr>
          <w:rFonts w:ascii="Helvetica" w:eastAsia="Times New Roman" w:hAnsi="Helvetica" w:cs="Helvetica"/>
          <w:color w:val="3F3F3F"/>
          <w:sz w:val="23"/>
          <w:szCs w:val="23"/>
        </w:rPr>
        <w:lastRenderedPageBreak/>
        <w:t>software engineers was launched as a new element of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This program enhanced the abilities of the software engineers and included group workshops and personal mentoring.</w:t>
      </w:r>
      <w:r w:rsidRPr="00241E70">
        <w:rPr>
          <w:rFonts w:ascii="Helvetica" w:eastAsia="Times New Roman" w:hAnsi="Helvetica" w:cs="Helvetica"/>
          <w:noProof/>
          <w:color w:val="006298"/>
          <w:sz w:val="23"/>
          <w:szCs w:val="23"/>
        </w:rPr>
        <w:drawing>
          <wp:inline distT="0" distB="0" distL="0" distR="0" wp14:anchorId="2B3FE41B" wp14:editId="4D1E9BFA">
            <wp:extent cx="120650" cy="120650"/>
            <wp:effectExtent l="0" t="0" r="0" b="0"/>
            <wp:docPr id="19" name="Picture 19"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ng.cengage.com/static/nbapps/glossary/images/footstar.png">
                      <a:hlinkClick r:id="rId12"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5D543710"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Second, the focus of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program also varied from group to group (and from region to region). Though the initiatives and management instruments of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were mandatory for all groups, their application was business specific.</w:t>
      </w:r>
      <w:r w:rsidRPr="00241E70">
        <w:rPr>
          <w:rFonts w:ascii="Helvetica" w:eastAsia="Times New Roman" w:hAnsi="Helvetica" w:cs="Helvetica"/>
          <w:noProof/>
          <w:color w:val="006298"/>
          <w:sz w:val="23"/>
          <w:szCs w:val="23"/>
        </w:rPr>
        <w:drawing>
          <wp:inline distT="0" distB="0" distL="0" distR="0" wp14:anchorId="2A529A31" wp14:editId="3DF21182">
            <wp:extent cx="120650" cy="120650"/>
            <wp:effectExtent l="0" t="0" r="0" b="0"/>
            <wp:docPr id="20" name="Picture 20" descr="https://ng.cengage.com/static/nbapps/glossary/images/footstar.png">
              <a:hlinkClick xmlns:a="http://schemas.openxmlformats.org/drawingml/2006/main" r:id="rId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ng.cengage.com/static/nbapps/glossary/images/footstar.png">
                      <a:hlinkClick r:id="rId6"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Helvetica" w:eastAsia="Times New Roman" w:hAnsi="Helvetica" w:cs="Helvetica"/>
          <w:color w:val="3F3F3F"/>
          <w:sz w:val="23"/>
          <w:szCs w:val="23"/>
        </w:rPr>
        <w:t> Groups and countries/regions focused on those initiatives and tools that they considered as most beneficial in the particular circumstances they faced.</w:t>
      </w:r>
      <w:r w:rsidRPr="00241E70">
        <w:rPr>
          <w:rFonts w:ascii="Helvetica" w:eastAsia="Times New Roman" w:hAnsi="Helvetica" w:cs="Helvetica"/>
          <w:noProof/>
          <w:color w:val="006298"/>
          <w:sz w:val="23"/>
          <w:szCs w:val="23"/>
        </w:rPr>
        <w:drawing>
          <wp:inline distT="0" distB="0" distL="0" distR="0" wp14:anchorId="0A967B8D" wp14:editId="4A0E8319">
            <wp:extent cx="120650" cy="120650"/>
            <wp:effectExtent l="0" t="0" r="0" b="0"/>
            <wp:docPr id="21" name="Picture 21" descr="https://ng.cengage.com/static/nbapps/glossary/images/footstar.png">
              <a:hlinkClick xmlns:a="http://schemas.openxmlformats.org/drawingml/2006/main" r:id="rId10"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ng.cengage.com/static/nbapps/glossary/images/footstar.png">
                      <a:hlinkClick r:id="rId10"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Helvetica" w:eastAsia="Times New Roman" w:hAnsi="Helvetica" w:cs="Helvetica"/>
          <w:color w:val="3F3F3F"/>
          <w:sz w:val="23"/>
          <w:szCs w:val="23"/>
        </w:rPr>
        <w:t> For example, in 2001 the Siemens VDO Automotive division launched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WIP (</w:t>
      </w:r>
      <w:proofErr w:type="spellStart"/>
      <w:r w:rsidRPr="00241E70">
        <w:rPr>
          <w:rFonts w:ascii="Helvetica" w:eastAsia="Times New Roman" w:hAnsi="Helvetica" w:cs="Helvetica"/>
          <w:color w:val="3F3F3F"/>
          <w:sz w:val="23"/>
          <w:szCs w:val="23"/>
        </w:rPr>
        <w:t>Worldclass</w:t>
      </w:r>
      <w:proofErr w:type="spellEnd"/>
      <w:r w:rsidRPr="00241E70">
        <w:rPr>
          <w:rFonts w:ascii="Helvetica" w:eastAsia="Times New Roman" w:hAnsi="Helvetica" w:cs="Helvetica"/>
          <w:color w:val="3F3F3F"/>
          <w:sz w:val="23"/>
          <w:szCs w:val="23"/>
        </w:rPr>
        <w:t xml:space="preserve"> Improvement Program), which focused on a Zero Fault quality initiative, leveraging production and procurement synergies, and outsourcing.</w:t>
      </w:r>
      <w:r w:rsidRPr="00241E70">
        <w:rPr>
          <w:rFonts w:ascii="Helvetica" w:eastAsia="Times New Roman" w:hAnsi="Helvetica" w:cs="Helvetica"/>
          <w:noProof/>
          <w:color w:val="006298"/>
          <w:sz w:val="23"/>
          <w:szCs w:val="23"/>
        </w:rPr>
        <w:drawing>
          <wp:inline distT="0" distB="0" distL="0" distR="0" wp14:anchorId="29C83CBC" wp14:editId="01CECC4C">
            <wp:extent cx="120650" cy="120650"/>
            <wp:effectExtent l="0" t="0" r="0" b="0"/>
            <wp:docPr id="22" name="Picture 22" descr="https://ng.cengage.com/static/nbapps/glossary/images/footstar.png">
              <a:hlinkClick xmlns:a="http://schemas.openxmlformats.org/drawingml/2006/main" r:id="rId9"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ng.cengage.com/static/nbapps/glossary/images/footstar.png">
                      <a:hlinkClick r:id="rId8"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Helvetica" w:eastAsia="Times New Roman" w:hAnsi="Helvetica" w:cs="Helvetica"/>
          <w:color w:val="3F3F3F"/>
          <w:sz w:val="23"/>
          <w:szCs w:val="23"/>
        </w:rPr>
        <w:t> Further, as a wholly-owned Siemens subsidiary, Siemens Australia’s efforts centered on the tool business process reengineering (BPR) in the process initiative and on the implementation of SAP software as part of the software initiative.</w:t>
      </w:r>
      <w:r w:rsidRPr="00241E70">
        <w:rPr>
          <w:rFonts w:ascii="Helvetica" w:eastAsia="Times New Roman" w:hAnsi="Helvetica" w:cs="Helvetica"/>
          <w:noProof/>
          <w:color w:val="006298"/>
          <w:sz w:val="23"/>
          <w:szCs w:val="23"/>
        </w:rPr>
        <w:drawing>
          <wp:inline distT="0" distB="0" distL="0" distR="0" wp14:anchorId="75802479" wp14:editId="50041DE2">
            <wp:extent cx="120650" cy="120650"/>
            <wp:effectExtent l="0" t="0" r="0" b="0"/>
            <wp:docPr id="23" name="Picture 23"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ng.cengage.com/static/nbapps/glossary/images/footstar.png">
                      <a:hlinkClick r:id="rId12"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02D147D8"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Besides considering aspects of the organizational and environmental context, decisions on which instruments or tools to include in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program depended on extensive internal and external benchmarking. An important requirement was that the tools that became part of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be “generic” enough to be applicable across a diverse business portfolio but also be proven with concrete examples within Siemens. Therefore, the process of</w:t>
      </w:r>
      <w:bookmarkStart w:id="7" w:name="PageEnd_C-200"/>
      <w:bookmarkEnd w:id="7"/>
      <w:r w:rsidRPr="00241E70">
        <w:rPr>
          <w:rFonts w:ascii="Helvetica" w:eastAsia="Times New Roman" w:hAnsi="Helvetica" w:cs="Helvetica"/>
          <w:color w:val="3F3F3F"/>
          <w:sz w:val="23"/>
          <w:szCs w:val="23"/>
        </w:rPr>
        <w:t> including certain tools started in most cases with a pilot project in one of the groups, often a consulting project of SMC. Contingent upon the successful adoption or development of a tool in the pilot project, they became part of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program and were implemented throughout the firm. Hence, a positive track record of a tool in at least one Siemens group was required:</w:t>
      </w:r>
    </w:p>
    <w:p w14:paraId="31BDD394" w14:textId="77777777" w:rsidR="00241E70" w:rsidRPr="00241E70" w:rsidRDefault="00241E70" w:rsidP="00241E70">
      <w:pPr>
        <w:shd w:val="clear" w:color="auto" w:fill="F1F1F1"/>
        <w:spacing w:line="240" w:lineRule="auto"/>
        <w:rPr>
          <w:rFonts w:ascii="Helvetica" w:eastAsia="Times New Roman" w:hAnsi="Helvetica" w:cs="Helvetica"/>
          <w:i/>
          <w:iCs/>
          <w:color w:val="3F3F3F"/>
          <w:sz w:val="23"/>
          <w:szCs w:val="23"/>
        </w:rPr>
      </w:pPr>
      <w:r w:rsidRPr="00241E70">
        <w:rPr>
          <w:rFonts w:ascii="Helvetica" w:eastAsia="Times New Roman" w:hAnsi="Helvetica" w:cs="Helvetica"/>
          <w:i/>
          <w:iCs/>
          <w:color w:val="3F3F3F"/>
          <w:sz w:val="23"/>
          <w:szCs w:val="23"/>
        </w:rPr>
        <w:t>“All the tools we use have already demonstrated their effectiveness for our business. Firmly anchored in all of our activities around the world, this proven approach is driving successful top+ programs at every level of the Company.”</w:t>
      </w:r>
      <w:r w:rsidRPr="00241E70">
        <w:rPr>
          <w:rFonts w:ascii="Helvetica" w:eastAsia="Times New Roman" w:hAnsi="Helvetica" w:cs="Helvetica"/>
          <w:i/>
          <w:iCs/>
          <w:noProof/>
          <w:color w:val="006298"/>
          <w:sz w:val="23"/>
          <w:szCs w:val="23"/>
        </w:rPr>
        <w:drawing>
          <wp:inline distT="0" distB="0" distL="0" distR="0" wp14:anchorId="48FB5579" wp14:editId="6D0ACBC9">
            <wp:extent cx="120650" cy="120650"/>
            <wp:effectExtent l="0" t="0" r="0" b="0"/>
            <wp:docPr id="24" name="Picture 24" descr="https://ng.cengage.com/static/nbapps/glossary/images/footstar.png">
              <a:hlinkClick xmlns:a="http://schemas.openxmlformats.org/drawingml/2006/main" r:id="rId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ng.cengage.com/static/nbapps/glossary/images/footstar.png">
                      <a:hlinkClick r:id="rId6"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5A6AB1C1"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Further, external benchmarking with direct competitors as well as with best-in-class competitors in certain areas was very important. Hereby, the operating businesses compared their value chains regarding different dimensions (processes, people, organization) and identified a cost-cap. The measures to close a potential gap compared to competitors included learnings derived from the benchmarking and the respective adaptation to Siemens.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made benchmarking a mandatory step for all operating businesses. Because of the substantial differences between the operating businesses, the benchmarking cycle was based on the product lifecycle of the respective operating business.</w:t>
      </w:r>
    </w:p>
    <w:p w14:paraId="4A32138D"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 xml:space="preserve">In addition, two other mechanisms led to the inclusion of new management tools. First, sometimes new management tools were developed “from scratch” by SMC, facilitated by SMC’s extensive consulting experience. Second, business groups and regions also developed their own business- or country-specific tools without the involvement of the corporate center. If the tools substantially improved the business group or regional company in a particular area, the corporate center analyzed whether they could also be implemented in other business groups and regional companies. An example is “low cost benchmarking”, which was developed by Siemens China and subsequently implemented in other firm businesses. Similarly, solutions for problems in single business groups led to changes for the overall firm, as von </w:t>
      </w:r>
      <w:proofErr w:type="spellStart"/>
      <w:r w:rsidRPr="00241E70">
        <w:rPr>
          <w:rFonts w:ascii="Helvetica" w:eastAsia="Times New Roman" w:hAnsi="Helvetica" w:cs="Helvetica"/>
          <w:color w:val="3F3F3F"/>
          <w:sz w:val="23"/>
          <w:szCs w:val="23"/>
        </w:rPr>
        <w:t>Pierer</w:t>
      </w:r>
      <w:proofErr w:type="spellEnd"/>
      <w:r w:rsidRPr="00241E70">
        <w:rPr>
          <w:rFonts w:ascii="Helvetica" w:eastAsia="Times New Roman" w:hAnsi="Helvetica" w:cs="Helvetica"/>
          <w:color w:val="3F3F3F"/>
          <w:sz w:val="23"/>
          <w:szCs w:val="23"/>
        </w:rPr>
        <w:t xml:space="preserve"> described in 2004:</w:t>
      </w:r>
    </w:p>
    <w:p w14:paraId="7E24EB46" w14:textId="77777777" w:rsidR="00241E70" w:rsidRPr="00241E70" w:rsidRDefault="00241E70" w:rsidP="00241E70">
      <w:pPr>
        <w:shd w:val="clear" w:color="auto" w:fill="F1F1F1"/>
        <w:spacing w:line="240" w:lineRule="auto"/>
        <w:rPr>
          <w:rFonts w:ascii="Helvetica" w:eastAsia="Times New Roman" w:hAnsi="Helvetica" w:cs="Helvetica"/>
          <w:i/>
          <w:iCs/>
          <w:color w:val="3F3F3F"/>
          <w:sz w:val="23"/>
          <w:szCs w:val="23"/>
        </w:rPr>
      </w:pPr>
      <w:r w:rsidRPr="00241E70">
        <w:rPr>
          <w:rFonts w:ascii="Helvetica" w:eastAsia="Times New Roman" w:hAnsi="Helvetica" w:cs="Helvetica"/>
          <w:i/>
          <w:iCs/>
          <w:color w:val="3F3F3F"/>
          <w:sz w:val="23"/>
          <w:szCs w:val="23"/>
        </w:rPr>
        <w:lastRenderedPageBreak/>
        <w:t>“In response to the problems at our Transportation Systems Group, quality management has been reorganized throughout the entire Company. In every Group and every Region, we have established quality managers who are authorized to intervene and halt projects and processes if quality problems arise. In such cases, improvements that would entail high costs after project completion can be defined and implemented at an early stage.”</w:t>
      </w:r>
      <w:r w:rsidRPr="00241E70">
        <w:rPr>
          <w:rFonts w:ascii="Helvetica" w:eastAsia="Times New Roman" w:hAnsi="Helvetica" w:cs="Helvetica"/>
          <w:i/>
          <w:iCs/>
          <w:noProof/>
          <w:color w:val="006298"/>
          <w:sz w:val="23"/>
          <w:szCs w:val="23"/>
        </w:rPr>
        <w:drawing>
          <wp:inline distT="0" distB="0" distL="0" distR="0" wp14:anchorId="5238CD23" wp14:editId="68229FF0">
            <wp:extent cx="120650" cy="120650"/>
            <wp:effectExtent l="0" t="0" r="0" b="0"/>
            <wp:docPr id="25" name="Picture 25" descr="https://ng.cengage.com/static/nbapps/glossary/images/footstar.png">
              <a:hlinkClick xmlns:a="http://schemas.openxmlformats.org/drawingml/2006/main" r:id="rId10"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ng.cengage.com/static/nbapps/glossary/images/footstar.png">
                      <a:hlinkClick r:id="rId10"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6962E193" w14:textId="77777777" w:rsidR="00241E70" w:rsidRDefault="00241E70" w:rsidP="00241E70">
      <w:pPr>
        <w:shd w:val="clear" w:color="auto" w:fill="FFFFFF"/>
        <w:spacing w:line="240" w:lineRule="auto"/>
        <w:rPr>
          <w:rFonts w:ascii="Helvetica" w:eastAsia="Times New Roman" w:hAnsi="Helvetica" w:cs="Helvetica"/>
          <w:color w:val="666666"/>
          <w:sz w:val="18"/>
          <w:szCs w:val="18"/>
        </w:rPr>
      </w:pPr>
      <w:proofErr w:type="spellStart"/>
      <w:r w:rsidRPr="00241E70">
        <w:rPr>
          <w:rFonts w:ascii="Helvetica" w:eastAsia="Times New Roman" w:hAnsi="Helvetica" w:cs="Helvetica"/>
          <w:color w:val="666666"/>
          <w:sz w:val="18"/>
          <w:szCs w:val="18"/>
        </w:rPr>
        <w:t>ens</w:t>
      </w:r>
      <w:proofErr w:type="spellEnd"/>
      <w:r w:rsidRPr="00241E70">
        <w:rPr>
          <w:rFonts w:ascii="Helvetica" w:eastAsia="Times New Roman" w:hAnsi="Helvetica" w:cs="Helvetica"/>
          <w:color w:val="666666"/>
          <w:sz w:val="18"/>
          <w:szCs w:val="18"/>
        </w:rPr>
        <w:t xml:space="preserve"> Annual Report 2008.</w:t>
      </w:r>
    </w:p>
    <w:p w14:paraId="1174BC11" w14:textId="77777777" w:rsidR="00241E70" w:rsidRDefault="00241E70" w:rsidP="00241E70">
      <w:pPr>
        <w:shd w:val="clear" w:color="auto" w:fill="FFFFFF"/>
        <w:spacing w:line="240" w:lineRule="auto"/>
        <w:rPr>
          <w:rFonts w:ascii="Helvetica" w:eastAsia="Times New Roman" w:hAnsi="Helvetica" w:cs="Helvetica"/>
          <w:color w:val="666666"/>
          <w:sz w:val="18"/>
          <w:szCs w:val="18"/>
        </w:rPr>
      </w:pPr>
    </w:p>
    <w:p w14:paraId="465F8EB9" w14:textId="77777777" w:rsidR="00241E70" w:rsidRPr="00241E70" w:rsidRDefault="00241E70" w:rsidP="00241E70">
      <w:pPr>
        <w:shd w:val="clear" w:color="auto" w:fill="FFFFFF"/>
        <w:spacing w:before="100" w:beforeAutospacing="1" w:after="100" w:afterAutospacing="1" w:line="240" w:lineRule="auto"/>
        <w:outlineLvl w:val="1"/>
        <w:rPr>
          <w:rFonts w:ascii="Tahoma" w:eastAsia="Times New Roman" w:hAnsi="Tahoma" w:cs="Tahoma"/>
          <w:b/>
          <w:bCs/>
          <w:color w:val="DF7300"/>
          <w:sz w:val="54"/>
          <w:szCs w:val="54"/>
        </w:rPr>
      </w:pPr>
      <w:r w:rsidRPr="00241E70">
        <w:rPr>
          <w:rFonts w:ascii="Tahoma" w:eastAsia="Times New Roman" w:hAnsi="Tahoma" w:cs="Tahoma"/>
          <w:b/>
          <w:bCs/>
          <w:color w:val="DF7300"/>
          <w:sz w:val="54"/>
          <w:szCs w:val="54"/>
        </w:rPr>
        <w:t>Implementation of the </w:t>
      </w:r>
      <w:r w:rsidRPr="00241E70">
        <w:rPr>
          <w:rFonts w:ascii="Tahoma" w:eastAsia="Times New Roman" w:hAnsi="Tahoma" w:cs="Tahoma"/>
          <w:b/>
          <w:bCs/>
          <w:i/>
          <w:iCs/>
          <w:color w:val="DF7300"/>
          <w:sz w:val="54"/>
          <w:szCs w:val="54"/>
        </w:rPr>
        <w:t>top</w:t>
      </w:r>
      <w:r w:rsidRPr="00241E70">
        <w:rPr>
          <w:rFonts w:ascii="Tahoma" w:eastAsia="Times New Roman" w:hAnsi="Tahoma" w:cs="Tahoma"/>
          <w:b/>
          <w:bCs/>
          <w:color w:val="DF7300"/>
          <w:sz w:val="41"/>
          <w:szCs w:val="41"/>
          <w:vertAlign w:val="superscript"/>
        </w:rPr>
        <w:t>+</w:t>
      </w:r>
      <w:r w:rsidRPr="00241E70">
        <w:rPr>
          <w:rFonts w:ascii="Tahoma" w:eastAsia="Times New Roman" w:hAnsi="Tahoma" w:cs="Tahoma"/>
          <w:b/>
          <w:bCs/>
          <w:color w:val="DF7300"/>
          <w:sz w:val="54"/>
          <w:szCs w:val="54"/>
        </w:rPr>
        <w:t> Program</w:t>
      </w:r>
    </w:p>
    <w:p w14:paraId="5AF33209" w14:textId="77777777" w:rsidR="00241E70" w:rsidRPr="00241E70" w:rsidRDefault="00241E70" w:rsidP="00241E70">
      <w:pPr>
        <w:shd w:val="clear" w:color="auto" w:fill="FFFFFF"/>
        <w:spacing w:after="225" w:line="240" w:lineRule="auto"/>
        <w:ind w:left="975" w:right="975"/>
        <w:rPr>
          <w:rFonts w:ascii="Cambria" w:eastAsia="Times New Roman" w:hAnsi="Cambria" w:cs="Times New Roman"/>
          <w:color w:val="575757"/>
          <w:sz w:val="27"/>
          <w:szCs w:val="27"/>
        </w:rPr>
      </w:pPr>
      <w:r w:rsidRPr="00241E70">
        <w:rPr>
          <w:rFonts w:ascii="Cambria" w:eastAsia="Times New Roman" w:hAnsi="Cambria" w:cs="Times New Roman"/>
          <w:color w:val="575757"/>
          <w:sz w:val="27"/>
          <w:szCs w:val="27"/>
        </w:rPr>
        <w:t>From its launch in 1993 until 2007, Siemens top management considered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7"/>
          <w:szCs w:val="27"/>
        </w:rPr>
        <w:t>/</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as a firm-wide program that was obligatory for all groups and regions of Siemens. Many groups and regions, however, initially only implemented parts of the overall program. While management tools were meant to guide the implementation of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program’s goals, groups and regions were ultimately responsible for assessing their specific situations and for choosing the appropriate measures. This led to varying implementation rates in different groups and regions.</w:t>
      </w:r>
      <w:r w:rsidRPr="00241E70">
        <w:rPr>
          <w:rFonts w:ascii="Cambria" w:eastAsia="Times New Roman" w:hAnsi="Cambria" w:cs="Times New Roman"/>
          <w:noProof/>
          <w:color w:val="007DB8"/>
          <w:sz w:val="27"/>
          <w:szCs w:val="27"/>
        </w:rPr>
        <w:drawing>
          <wp:inline distT="0" distB="0" distL="0" distR="0" wp14:anchorId="135EAD6E" wp14:editId="32301660">
            <wp:extent cx="120650" cy="120650"/>
            <wp:effectExtent l="0" t="0" r="0" b="0"/>
            <wp:docPr id="26" name="Picture 26" descr="https://ng.cengage.com/static/nbapps/glossary/images/footstar.png">
              <a:hlinkClick xmlns:a="http://schemas.openxmlformats.org/drawingml/2006/main" r:id="rId9"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ng.cengage.com/static/nbapps/glossary/images/footstar.png">
                      <a:hlinkClick r:id="rId8"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3ED37383" w14:textId="77777777" w:rsidR="00241E70" w:rsidRPr="00241E70" w:rsidRDefault="00241E70" w:rsidP="00241E70">
      <w:pPr>
        <w:shd w:val="clear" w:color="auto" w:fill="FFFFFF"/>
        <w:spacing w:after="225" w:line="240" w:lineRule="auto"/>
        <w:ind w:left="975" w:right="975"/>
        <w:rPr>
          <w:rFonts w:ascii="Cambria" w:eastAsia="Times New Roman" w:hAnsi="Cambria" w:cs="Times New Roman"/>
          <w:color w:val="575757"/>
          <w:sz w:val="27"/>
          <w:szCs w:val="27"/>
        </w:rPr>
      </w:pPr>
      <w:r w:rsidRPr="00241E70">
        <w:rPr>
          <w:rFonts w:ascii="Cambria" w:eastAsia="Times New Roman" w:hAnsi="Cambria" w:cs="Times New Roman"/>
          <w:color w:val="575757"/>
          <w:sz w:val="27"/>
          <w:szCs w:val="27"/>
        </w:rPr>
        <w:t>In the beginning, the implementation of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7"/>
          <w:szCs w:val="27"/>
        </w:rPr>
        <w:t xml:space="preserve"> appeared difficult, mainly because of the autonomy and power of the different group presidents and their management teams. Although the implementation was mandatory for all groups, only some groups applied all instruments and tools provided. The main reason for the partial implementation of top was the still prevalent Siemens culture in the early and mid-1990s, which was characterized by a lack of firm-wide transparency and a lack of consequences for the management of low-performing groups. In the following years, however, von </w:t>
      </w:r>
      <w:proofErr w:type="spellStart"/>
      <w:r w:rsidRPr="00241E70">
        <w:rPr>
          <w:rFonts w:ascii="Cambria" w:eastAsia="Times New Roman" w:hAnsi="Cambria" w:cs="Times New Roman"/>
          <w:color w:val="575757"/>
          <w:sz w:val="27"/>
          <w:szCs w:val="27"/>
        </w:rPr>
        <w:t>Pierer</w:t>
      </w:r>
      <w:proofErr w:type="spellEnd"/>
      <w:r w:rsidRPr="00241E70">
        <w:rPr>
          <w:rFonts w:ascii="Cambria" w:eastAsia="Times New Roman" w:hAnsi="Cambria" w:cs="Times New Roman"/>
          <w:color w:val="575757"/>
          <w:sz w:val="27"/>
          <w:szCs w:val="27"/>
        </w:rPr>
        <w:t xml:space="preserve"> was able to change the culture by obliging every single group president to implement the program. This was also facilitated by introducing more transparent and standardized performance measures and clear consequences for managers who did not fulfill the agreed performance targets. Despite these changes, even during the subsequent years, the implementation varied across groups and regions. In 2002, then CFO Heinz-Joachim </w:t>
      </w:r>
      <w:proofErr w:type="spellStart"/>
      <w:r w:rsidRPr="00241E70">
        <w:rPr>
          <w:rFonts w:ascii="Cambria" w:eastAsia="Times New Roman" w:hAnsi="Cambria" w:cs="Times New Roman"/>
          <w:color w:val="575757"/>
          <w:sz w:val="27"/>
          <w:szCs w:val="27"/>
        </w:rPr>
        <w:t>Neubürger</w:t>
      </w:r>
      <w:proofErr w:type="spellEnd"/>
      <w:r w:rsidRPr="00241E70">
        <w:rPr>
          <w:rFonts w:ascii="Cambria" w:eastAsia="Times New Roman" w:hAnsi="Cambria" w:cs="Times New Roman"/>
          <w:color w:val="575757"/>
          <w:sz w:val="27"/>
          <w:szCs w:val="27"/>
        </w:rPr>
        <w:t xml:space="preserve"> noted:</w:t>
      </w:r>
    </w:p>
    <w:p w14:paraId="5103462D" w14:textId="77777777" w:rsidR="00241E70" w:rsidRPr="00241E70" w:rsidRDefault="00241E70" w:rsidP="00241E70">
      <w:pPr>
        <w:shd w:val="clear" w:color="auto" w:fill="F1F1F1"/>
        <w:spacing w:line="240" w:lineRule="auto"/>
        <w:rPr>
          <w:rFonts w:ascii="Cambria" w:eastAsia="Times New Roman" w:hAnsi="Cambria" w:cs="Times New Roman"/>
          <w:i/>
          <w:iCs/>
          <w:color w:val="575757"/>
          <w:sz w:val="27"/>
          <w:szCs w:val="27"/>
        </w:rPr>
      </w:pPr>
      <w:r w:rsidRPr="00241E70">
        <w:rPr>
          <w:rFonts w:ascii="Cambria" w:eastAsia="Times New Roman" w:hAnsi="Cambria" w:cs="Times New Roman"/>
          <w:i/>
          <w:iCs/>
          <w:color w:val="575757"/>
          <w:sz w:val="27"/>
          <w:szCs w:val="27"/>
        </w:rPr>
        <w:lastRenderedPageBreak/>
        <w:t>“The instruments of top/top+ itself are good. Yet, we recognize again and again that they are not applied with the necessary consequence and persistence.”</w:t>
      </w:r>
      <w:r w:rsidRPr="00241E70">
        <w:rPr>
          <w:rFonts w:ascii="Cambria" w:eastAsia="Times New Roman" w:hAnsi="Cambria" w:cs="Times New Roman"/>
          <w:i/>
          <w:iCs/>
          <w:noProof/>
          <w:color w:val="007DB8"/>
          <w:sz w:val="27"/>
          <w:szCs w:val="27"/>
        </w:rPr>
        <w:drawing>
          <wp:inline distT="0" distB="0" distL="0" distR="0" wp14:anchorId="79D72A4D" wp14:editId="4E7ECC79">
            <wp:extent cx="120650" cy="120650"/>
            <wp:effectExtent l="0" t="0" r="0" b="0"/>
            <wp:docPr id="27" name="Picture 27"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ng.cengage.com/static/nbapps/glossary/images/footstar.png">
                      <a:hlinkClick r:id="rId12"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05A8012C" w14:textId="77777777" w:rsidR="00241E70" w:rsidRPr="00241E70" w:rsidRDefault="00241E70" w:rsidP="00241E70">
      <w:pPr>
        <w:shd w:val="clear" w:color="auto" w:fill="FFFFFF"/>
        <w:spacing w:after="225" w:line="240" w:lineRule="auto"/>
        <w:ind w:left="975" w:right="975"/>
        <w:rPr>
          <w:rFonts w:ascii="Cambria" w:eastAsia="Times New Roman" w:hAnsi="Cambria" w:cs="Times New Roman"/>
          <w:color w:val="575757"/>
          <w:sz w:val="27"/>
          <w:szCs w:val="27"/>
        </w:rPr>
      </w:pPr>
      <w:r w:rsidRPr="00241E70">
        <w:rPr>
          <w:rFonts w:ascii="Cambria" w:eastAsia="Times New Roman" w:hAnsi="Cambria" w:cs="Times New Roman"/>
          <w:color w:val="575757"/>
          <w:sz w:val="27"/>
          <w:szCs w:val="27"/>
        </w:rPr>
        <w:t>Indeed,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7"/>
          <w:szCs w:val="27"/>
        </w:rPr>
        <w:t>/</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program was criticized for being too broad instead of focusing on different or even conflicting targets such as innovation or productivity. This breadth hampered commitment to the program by the firm’s groups, particularly in the first years following the launch of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7"/>
          <w:szCs w:val="27"/>
        </w:rPr>
        <w:t>.</w:t>
      </w:r>
      <w:r w:rsidRPr="00241E70">
        <w:rPr>
          <w:rFonts w:ascii="Cambria" w:eastAsia="Times New Roman" w:hAnsi="Cambria" w:cs="Times New Roman"/>
          <w:noProof/>
          <w:color w:val="007DB8"/>
          <w:sz w:val="27"/>
          <w:szCs w:val="27"/>
        </w:rPr>
        <w:drawing>
          <wp:inline distT="0" distB="0" distL="0" distR="0" wp14:anchorId="71772B93" wp14:editId="03CF9CA5">
            <wp:extent cx="120650" cy="120650"/>
            <wp:effectExtent l="0" t="0" r="0" b="0"/>
            <wp:docPr id="28" name="Picture 28" descr="https://ng.cengage.com/static/nbapps/glossary/images/footstar.png">
              <a:hlinkClick xmlns:a="http://schemas.openxmlformats.org/drawingml/2006/main" r:id="rId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ng.cengage.com/static/nbapps/glossary/images/footstar.png">
                      <a:hlinkClick r:id="rId6"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Cambria" w:eastAsia="Times New Roman" w:hAnsi="Cambria" w:cs="Times New Roman"/>
          <w:color w:val="575757"/>
          <w:sz w:val="27"/>
          <w:szCs w:val="27"/>
        </w:rPr>
        <w:t> To foster the implementation of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program throughout the firm, two measures were taken. First, management required all groups to undertake extensive external benchmarking every two to three years. If a business failed to achieve its targets, the management team had to propose how it would close the performance gap. Since the standardized tools of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program already existed, the businesses frequently opted to apply them in order to enhance performance. Hence, although most of the tools of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program were not mandatory, business groups were indirectly required to apply them. Second, Siemens initiated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award in 1999.</w:t>
      </w:r>
      <w:bookmarkStart w:id="8" w:name="PageEnd_C-201"/>
      <w:bookmarkEnd w:id="8"/>
      <w:r w:rsidRPr="00241E70">
        <w:rPr>
          <w:rFonts w:ascii="Cambria" w:eastAsia="Times New Roman" w:hAnsi="Cambria" w:cs="Times New Roman"/>
          <w:color w:val="575757"/>
          <w:sz w:val="27"/>
          <w:szCs w:val="27"/>
        </w:rPr>
        <w:t> It became the firm’s most important award and was given to the best performing teams, divisions, units and subsidiaries. Award criteria included an increase in EVA and the successful implementation of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philosophy within a certain period of time.</w:t>
      </w:r>
      <w:r w:rsidRPr="00241E70">
        <w:rPr>
          <w:rFonts w:ascii="Cambria" w:eastAsia="Times New Roman" w:hAnsi="Cambria" w:cs="Times New Roman"/>
          <w:noProof/>
          <w:color w:val="007DB8"/>
          <w:sz w:val="27"/>
          <w:szCs w:val="27"/>
        </w:rPr>
        <w:drawing>
          <wp:inline distT="0" distB="0" distL="0" distR="0" wp14:anchorId="4EB90B54" wp14:editId="2BF487DC">
            <wp:extent cx="120650" cy="120650"/>
            <wp:effectExtent l="0" t="0" r="0" b="0"/>
            <wp:docPr id="29" name="Picture 29" descr="https://ng.cengage.com/static/nbapps/glossary/images/footstar.png">
              <a:hlinkClick xmlns:a="http://schemas.openxmlformats.org/drawingml/2006/main" r:id="rId10"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ng.cengage.com/static/nbapps/glossary/images/footstar.png">
                      <a:hlinkClick r:id="rId10"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Cambria" w:eastAsia="Times New Roman" w:hAnsi="Cambria" w:cs="Times New Roman"/>
          <w:color w:val="575757"/>
          <w:sz w:val="27"/>
          <w:szCs w:val="27"/>
        </w:rPr>
        <w:t> An SMC project manager described the implementation of the overall program as a “mixture of push and pull efforts”.</w:t>
      </w:r>
      <w:r w:rsidRPr="00241E70">
        <w:rPr>
          <w:rFonts w:ascii="Cambria" w:eastAsia="Times New Roman" w:hAnsi="Cambria" w:cs="Times New Roman"/>
          <w:noProof/>
          <w:color w:val="007DB8"/>
          <w:sz w:val="27"/>
          <w:szCs w:val="27"/>
        </w:rPr>
        <w:drawing>
          <wp:inline distT="0" distB="0" distL="0" distR="0" wp14:anchorId="5F0CBD70" wp14:editId="06CC6C93">
            <wp:extent cx="120650" cy="120650"/>
            <wp:effectExtent l="0" t="0" r="0" b="0"/>
            <wp:docPr id="30" name="Picture 30" descr="https://ng.cengage.com/static/nbapps/glossary/images/footstar.png">
              <a:hlinkClick xmlns:a="http://schemas.openxmlformats.org/drawingml/2006/main" r:id="rId9"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ng.cengage.com/static/nbapps/glossary/images/footstar.png">
                      <a:hlinkClick r:id="rId8"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194199C7" w14:textId="77777777" w:rsidR="00241E70" w:rsidRPr="00241E70" w:rsidRDefault="00241E70" w:rsidP="00241E70">
      <w:pPr>
        <w:shd w:val="clear" w:color="auto" w:fill="FFFFFF"/>
        <w:spacing w:after="225" w:line="240" w:lineRule="auto"/>
        <w:ind w:left="975" w:right="975"/>
        <w:rPr>
          <w:rFonts w:ascii="Cambria" w:eastAsia="Times New Roman" w:hAnsi="Cambria" w:cs="Times New Roman"/>
          <w:color w:val="575757"/>
          <w:sz w:val="27"/>
          <w:szCs w:val="27"/>
        </w:rPr>
      </w:pPr>
      <w:r w:rsidRPr="00241E70">
        <w:rPr>
          <w:rFonts w:ascii="Cambria" w:eastAsia="Times New Roman" w:hAnsi="Cambria" w:cs="Times New Roman"/>
          <w:color w:val="575757"/>
          <w:sz w:val="27"/>
          <w:szCs w:val="27"/>
        </w:rPr>
        <w:t>Numerous examples of the (successful) implementation of single aspects of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in groups or regions exist. Since 2000, Siemens used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as a framework for achieving performance improvements in their US business. The measures not only targeted the businesses independently, but also included initiatives for synergy realization across businesses. The latter included aspects such as “one face to key customer groups” and “shared services for corporate functions”.</w:t>
      </w:r>
      <w:r w:rsidRPr="00241E70">
        <w:rPr>
          <w:rFonts w:ascii="Cambria" w:eastAsia="Times New Roman" w:hAnsi="Cambria" w:cs="Times New Roman"/>
          <w:noProof/>
          <w:color w:val="007DB8"/>
          <w:sz w:val="27"/>
          <w:szCs w:val="27"/>
        </w:rPr>
        <w:drawing>
          <wp:inline distT="0" distB="0" distL="0" distR="0" wp14:anchorId="6B6DF2AE" wp14:editId="7403EEA6">
            <wp:extent cx="120650" cy="120650"/>
            <wp:effectExtent l="0" t="0" r="0" b="0"/>
            <wp:docPr id="31" name="Picture 31"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ng.cengage.com/static/nbapps/glossary/images/footstar.png">
                      <a:hlinkClick r:id="rId12"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Cambria" w:eastAsia="Times New Roman" w:hAnsi="Cambria" w:cs="Times New Roman"/>
          <w:color w:val="575757"/>
          <w:sz w:val="27"/>
          <w:szCs w:val="27"/>
        </w:rPr>
        <w:t> As early as in 2002, the results of implementing elements of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initiative appeared promising. Interestingly, at that time, Klaus Kleinfeld, one of the initiators of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xml:space="preserve"> and SMC and later Siemens President and CEO, served as CEO of the US business. Siemens’ CEO von </w:t>
      </w:r>
      <w:proofErr w:type="spellStart"/>
      <w:r w:rsidRPr="00241E70">
        <w:rPr>
          <w:rFonts w:ascii="Cambria" w:eastAsia="Times New Roman" w:hAnsi="Cambria" w:cs="Times New Roman"/>
          <w:color w:val="575757"/>
          <w:sz w:val="27"/>
          <w:szCs w:val="27"/>
        </w:rPr>
        <w:t>Pierer</w:t>
      </w:r>
      <w:proofErr w:type="spellEnd"/>
      <w:r w:rsidRPr="00241E70">
        <w:rPr>
          <w:rFonts w:ascii="Cambria" w:eastAsia="Times New Roman" w:hAnsi="Cambria" w:cs="Times New Roman"/>
          <w:color w:val="575757"/>
          <w:sz w:val="27"/>
          <w:szCs w:val="27"/>
        </w:rPr>
        <w:t xml:space="preserve"> noted:</w:t>
      </w:r>
    </w:p>
    <w:p w14:paraId="04B521E4" w14:textId="77777777" w:rsidR="00241E70" w:rsidRPr="00241E70" w:rsidRDefault="00241E70" w:rsidP="00241E70">
      <w:pPr>
        <w:shd w:val="clear" w:color="auto" w:fill="F1F1F1"/>
        <w:spacing w:line="240" w:lineRule="auto"/>
        <w:rPr>
          <w:rFonts w:ascii="Cambria" w:eastAsia="Times New Roman" w:hAnsi="Cambria" w:cs="Times New Roman"/>
          <w:i/>
          <w:iCs/>
          <w:color w:val="575757"/>
          <w:sz w:val="27"/>
          <w:szCs w:val="27"/>
        </w:rPr>
      </w:pPr>
      <w:r w:rsidRPr="00241E70">
        <w:rPr>
          <w:rFonts w:ascii="Cambria" w:eastAsia="Times New Roman" w:hAnsi="Cambria" w:cs="Times New Roman"/>
          <w:i/>
          <w:iCs/>
          <w:color w:val="575757"/>
          <w:sz w:val="27"/>
          <w:szCs w:val="27"/>
        </w:rPr>
        <w:t>“Launched two years ago, our top+ U.S. Business Initiative has begun to show results. Earnings at our American companies have increased significantly.”</w:t>
      </w:r>
      <w:r w:rsidRPr="00241E70">
        <w:rPr>
          <w:rFonts w:ascii="Cambria" w:eastAsia="Times New Roman" w:hAnsi="Cambria" w:cs="Times New Roman"/>
          <w:i/>
          <w:iCs/>
          <w:noProof/>
          <w:color w:val="007DB8"/>
          <w:sz w:val="27"/>
          <w:szCs w:val="27"/>
        </w:rPr>
        <w:drawing>
          <wp:inline distT="0" distB="0" distL="0" distR="0" wp14:anchorId="55E756CE" wp14:editId="26FA0A75">
            <wp:extent cx="120650" cy="120650"/>
            <wp:effectExtent l="0" t="0" r="0" b="0"/>
            <wp:docPr id="32" name="Picture 32" descr="https://ng.cengage.com/static/nbapps/glossary/images/footstar.png">
              <a:hlinkClick xmlns:a="http://schemas.openxmlformats.org/drawingml/2006/main" r:id="rId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ng.cengage.com/static/nbapps/glossary/images/footstar.png">
                      <a:hlinkClick r:id="rId6"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33E1DCF4" w14:textId="77777777" w:rsidR="00241E70" w:rsidRPr="00241E70" w:rsidRDefault="00241E70" w:rsidP="00241E70">
      <w:pPr>
        <w:shd w:val="clear" w:color="auto" w:fill="FFFFFF"/>
        <w:spacing w:after="225" w:line="240" w:lineRule="auto"/>
        <w:ind w:left="975" w:right="975"/>
        <w:rPr>
          <w:rFonts w:ascii="Cambria" w:eastAsia="Times New Roman" w:hAnsi="Cambria" w:cs="Times New Roman"/>
          <w:color w:val="575757"/>
          <w:sz w:val="27"/>
          <w:szCs w:val="27"/>
        </w:rPr>
      </w:pPr>
      <w:r w:rsidRPr="00241E70">
        <w:rPr>
          <w:rFonts w:ascii="Cambria" w:eastAsia="Times New Roman" w:hAnsi="Cambria" w:cs="Times New Roman"/>
          <w:color w:val="575757"/>
          <w:sz w:val="27"/>
          <w:szCs w:val="27"/>
        </w:rPr>
        <w:lastRenderedPageBreak/>
        <w:t>A further example is the strategic reorganization of the group Information and Communication Networks (ICN) in 2001. Following the changing strategic focus, tools of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program were applied. The group defined concrete measures that were monitored monthly and, if necessary, adjusted. This included “reducing the number of production sites by half, optimizing sales channels and accelerating development activities in promising innovation fields”.</w:t>
      </w:r>
      <w:r w:rsidRPr="00241E70">
        <w:rPr>
          <w:rFonts w:ascii="Cambria" w:eastAsia="Times New Roman" w:hAnsi="Cambria" w:cs="Times New Roman"/>
          <w:noProof/>
          <w:color w:val="007DB8"/>
          <w:sz w:val="27"/>
          <w:szCs w:val="27"/>
        </w:rPr>
        <w:drawing>
          <wp:inline distT="0" distB="0" distL="0" distR="0" wp14:anchorId="616FFA60" wp14:editId="1FE526D8">
            <wp:extent cx="120650" cy="120650"/>
            <wp:effectExtent l="0" t="0" r="0" b="0"/>
            <wp:docPr id="33" name="Picture 33" descr="https://ng.cengage.com/static/nbapps/glossary/images/footstar.png">
              <a:hlinkClick xmlns:a="http://schemas.openxmlformats.org/drawingml/2006/main" r:id="rId10"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ng.cengage.com/static/nbapps/glossary/images/footstar.png">
                      <a:hlinkClick r:id="rId10"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Cambria" w:eastAsia="Times New Roman" w:hAnsi="Cambria" w:cs="Times New Roman"/>
          <w:color w:val="575757"/>
          <w:sz w:val="27"/>
          <w:szCs w:val="27"/>
        </w:rPr>
        <w:t> A variety of other businesses implemented elements of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in 2001 (e.g., A&amp;D and Siemens Real Estate). For example, A&amp;D in the Automation and Control (A&amp;C) group applied tools such as asset management, quality, and cost reduction.</w:t>
      </w:r>
      <w:r w:rsidRPr="00241E70">
        <w:rPr>
          <w:rFonts w:ascii="Cambria" w:eastAsia="Times New Roman" w:hAnsi="Cambria" w:cs="Times New Roman"/>
          <w:noProof/>
          <w:color w:val="007DB8"/>
          <w:sz w:val="27"/>
          <w:szCs w:val="27"/>
        </w:rPr>
        <w:drawing>
          <wp:inline distT="0" distB="0" distL="0" distR="0" wp14:anchorId="350FEA83" wp14:editId="3EA4665A">
            <wp:extent cx="120650" cy="120650"/>
            <wp:effectExtent l="0" t="0" r="0" b="0"/>
            <wp:docPr id="34" name="Picture 34" descr="https://ng.cengage.com/static/nbapps/glossary/images/footstar.png">
              <a:hlinkClick xmlns:a="http://schemas.openxmlformats.org/drawingml/2006/main" r:id="rId9"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ng.cengage.com/static/nbapps/glossary/images/footstar.png">
                      <a:hlinkClick r:id="rId8"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7AE64E29" w14:textId="77777777" w:rsidR="00241E70" w:rsidRPr="00241E70" w:rsidRDefault="00241E70" w:rsidP="00241E70">
      <w:pPr>
        <w:shd w:val="clear" w:color="auto" w:fill="FFFFFF"/>
        <w:spacing w:after="225" w:line="240" w:lineRule="auto"/>
        <w:ind w:left="975" w:right="975"/>
        <w:rPr>
          <w:rFonts w:ascii="Cambria" w:eastAsia="Times New Roman" w:hAnsi="Cambria" w:cs="Times New Roman"/>
          <w:color w:val="575757"/>
          <w:sz w:val="27"/>
          <w:szCs w:val="27"/>
        </w:rPr>
      </w:pPr>
      <w:r w:rsidRPr="00241E70">
        <w:rPr>
          <w:rFonts w:ascii="Cambria" w:eastAsia="Times New Roman" w:hAnsi="Cambria" w:cs="Times New Roman"/>
          <w:color w:val="575757"/>
          <w:sz w:val="27"/>
          <w:szCs w:val="27"/>
        </w:rPr>
        <w:t>An example of a particular implementation aspect of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and of the challenges firms such as Siemens face when dealing with a diverse business portfolio is the “business excellence leadership training” in the Power Generation division. In 2000, the division’s management team decided to implement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quality initiative, mainly aiming at improvements of the process quality. The power generation business is characterized by large customized orders for single customers. Compared to businesses with large-scale production facilities, relatively small series and individual customer demands lead to a typical project duration of 18 to 24 months. Process improvements by quality management tools such as Six Sigma are difficult to (statistically) measure since the different projects are only partly comparable. Nevertheless, process quality and customer satisfaction needed to be improved. Therefore, management decided to develop a distinct competence aiming at continuous improvement that builds upon elements of Six Sigma.</w:t>
      </w:r>
      <w:r w:rsidRPr="00241E70">
        <w:rPr>
          <w:rFonts w:ascii="Cambria" w:eastAsia="Times New Roman" w:hAnsi="Cambria" w:cs="Times New Roman"/>
          <w:noProof/>
          <w:color w:val="007DB8"/>
          <w:sz w:val="27"/>
          <w:szCs w:val="27"/>
        </w:rPr>
        <w:drawing>
          <wp:inline distT="0" distB="0" distL="0" distR="0" wp14:anchorId="43F75E77" wp14:editId="03EFD7EC">
            <wp:extent cx="120650" cy="120650"/>
            <wp:effectExtent l="0" t="0" r="0" b="0"/>
            <wp:docPr id="35" name="Picture 35"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ng.cengage.com/static/nbapps/glossary/images/footstar.png">
                      <a:hlinkClick r:id="rId12"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70516CB5" w14:textId="77777777" w:rsidR="00241E70" w:rsidRPr="00241E70" w:rsidRDefault="00241E70" w:rsidP="00241E70">
      <w:pPr>
        <w:shd w:val="clear" w:color="auto" w:fill="FFFFFF"/>
        <w:spacing w:line="240" w:lineRule="auto"/>
        <w:ind w:left="975" w:right="975"/>
        <w:rPr>
          <w:rFonts w:ascii="Cambria" w:eastAsia="Times New Roman" w:hAnsi="Cambria" w:cs="Times New Roman"/>
          <w:color w:val="575757"/>
          <w:sz w:val="27"/>
          <w:szCs w:val="27"/>
        </w:rPr>
      </w:pPr>
      <w:r w:rsidRPr="00241E70">
        <w:rPr>
          <w:rFonts w:ascii="Cambria" w:eastAsia="Times New Roman" w:hAnsi="Cambria" w:cs="Times New Roman"/>
          <w:color w:val="575757"/>
          <w:sz w:val="27"/>
          <w:szCs w:val="27"/>
        </w:rPr>
        <w:t>As the in-house consultancy SMC notes, today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program is implemented in all groups and regions.</w:t>
      </w:r>
      <w:r w:rsidRPr="00241E70">
        <w:rPr>
          <w:rFonts w:ascii="Cambria" w:eastAsia="Times New Roman" w:hAnsi="Cambria" w:cs="Times New Roman"/>
          <w:noProof/>
          <w:color w:val="007DB8"/>
          <w:sz w:val="27"/>
          <w:szCs w:val="27"/>
        </w:rPr>
        <w:drawing>
          <wp:inline distT="0" distB="0" distL="0" distR="0" wp14:anchorId="233B204C" wp14:editId="2E52D9DA">
            <wp:extent cx="120650" cy="120650"/>
            <wp:effectExtent l="0" t="0" r="0" b="0"/>
            <wp:docPr id="36" name="Picture 36" descr="https://ng.cengage.com/static/nbapps/glossary/images/footstar.png">
              <a:hlinkClick xmlns:a="http://schemas.openxmlformats.org/drawingml/2006/main" r:id="rId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ng.cengage.com/static/nbapps/glossary/images/footstar.png">
                      <a:hlinkClick r:id="rId6"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Cambria" w:eastAsia="Times New Roman" w:hAnsi="Cambria" w:cs="Times New Roman"/>
          <w:color w:val="575757"/>
          <w:sz w:val="27"/>
          <w:szCs w:val="27"/>
        </w:rPr>
        <w:t> Though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has become the “standard” for operational excellence in many divisions and regions, the implementation rigor and scope, however, still varies. To successfully implement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program requires the commitment of the firm’s group managers. Familiarizing them with three sub-programs innovation, customer focus, and global competitiveness, and their respective contents appears critical.</w:t>
      </w:r>
      <w:r w:rsidRPr="00241E70">
        <w:rPr>
          <w:rFonts w:ascii="Cambria" w:eastAsia="Times New Roman" w:hAnsi="Cambria" w:cs="Times New Roman"/>
          <w:noProof/>
          <w:color w:val="007DB8"/>
          <w:sz w:val="27"/>
          <w:szCs w:val="27"/>
        </w:rPr>
        <w:drawing>
          <wp:inline distT="0" distB="0" distL="0" distR="0" wp14:anchorId="3B7C5CA8" wp14:editId="2CFB786B">
            <wp:extent cx="120650" cy="120650"/>
            <wp:effectExtent l="0" t="0" r="0" b="0"/>
            <wp:docPr id="37" name="Picture 37" descr="https://ng.cengage.com/static/nbapps/glossary/images/footstar.png">
              <a:hlinkClick xmlns:a="http://schemas.openxmlformats.org/drawingml/2006/main" r:id="rId10"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ng.cengage.com/static/nbapps/glossary/images/footstar.png">
                      <a:hlinkClick r:id="rId10"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Cambria" w:eastAsia="Times New Roman" w:hAnsi="Cambria" w:cs="Times New Roman"/>
          <w:color w:val="575757"/>
          <w:sz w:val="27"/>
          <w:szCs w:val="27"/>
        </w:rPr>
        <w:t> Indeed, Siemens management identified two success factors of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xml:space="preserve"> program. </w:t>
      </w:r>
      <w:r w:rsidRPr="00241E70">
        <w:rPr>
          <w:rFonts w:ascii="Cambria" w:eastAsia="Times New Roman" w:hAnsi="Cambria" w:cs="Times New Roman"/>
          <w:color w:val="575757"/>
          <w:sz w:val="27"/>
          <w:szCs w:val="27"/>
        </w:rPr>
        <w:lastRenderedPageBreak/>
        <w:t>First, top management team commitment is decisive for implementation efforts. Second, communication across all firm levels is key. Both factors are strongly interrelated. For example, the annual winners of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award are invited to an awards ceremony in Berlin, where they are awarded a prize by the CEO. Further, there are management training programs reflecting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program and methods. These training programs are targeted at different management levels, ranging from members of the top management to team managers.</w:t>
      </w:r>
    </w:p>
    <w:p w14:paraId="7EC458A8" w14:textId="77777777" w:rsidR="00241E70" w:rsidRPr="00241E70" w:rsidRDefault="00241E70" w:rsidP="00241E70">
      <w:pPr>
        <w:shd w:val="clear" w:color="auto" w:fill="FFFFFF"/>
        <w:spacing w:before="100" w:beforeAutospacing="1" w:after="100" w:afterAutospacing="1" w:line="240" w:lineRule="auto"/>
        <w:outlineLvl w:val="1"/>
        <w:rPr>
          <w:rFonts w:ascii="Helvetica" w:eastAsia="Times New Roman" w:hAnsi="Helvetica" w:cs="Helvetica"/>
          <w:b/>
          <w:bCs/>
          <w:color w:val="3F3F3F"/>
          <w:sz w:val="28"/>
          <w:szCs w:val="28"/>
        </w:rPr>
      </w:pPr>
      <w:r w:rsidRPr="00241E70">
        <w:rPr>
          <w:rFonts w:ascii="Helvetica" w:eastAsia="Times New Roman" w:hAnsi="Helvetica" w:cs="Helvetica"/>
          <w:b/>
          <w:bCs/>
          <w:color w:val="3F3F3F"/>
          <w:sz w:val="28"/>
          <w:szCs w:val="28"/>
        </w:rPr>
        <w:t>15-3d Capability Development and the </w:t>
      </w:r>
      <w:r w:rsidRPr="00241E70">
        <w:rPr>
          <w:rFonts w:ascii="Helvetica" w:eastAsia="Times New Roman" w:hAnsi="Helvetica" w:cs="Helvetica"/>
          <w:b/>
          <w:bCs/>
          <w:i/>
          <w:iCs/>
          <w:color w:val="3F3F3F"/>
          <w:sz w:val="28"/>
          <w:szCs w:val="28"/>
        </w:rPr>
        <w:t>top</w:t>
      </w:r>
      <w:r w:rsidRPr="00241E70">
        <w:rPr>
          <w:rFonts w:ascii="Helvetica" w:eastAsia="Times New Roman" w:hAnsi="Helvetica" w:cs="Helvetica"/>
          <w:b/>
          <w:bCs/>
          <w:color w:val="3F3F3F"/>
          <w:sz w:val="28"/>
          <w:szCs w:val="28"/>
          <w:vertAlign w:val="superscript"/>
        </w:rPr>
        <w:t>+</w:t>
      </w:r>
      <w:r w:rsidRPr="00241E70">
        <w:rPr>
          <w:rFonts w:ascii="Helvetica" w:eastAsia="Times New Roman" w:hAnsi="Helvetica" w:cs="Helvetica"/>
          <w:b/>
          <w:bCs/>
          <w:color w:val="3F3F3F"/>
          <w:sz w:val="28"/>
          <w:szCs w:val="28"/>
        </w:rPr>
        <w:t> Program</w:t>
      </w:r>
    </w:p>
    <w:p w14:paraId="4D8A1D71"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As indicated above, enabling the development of competences, for example, in quality or process management was a critical aspect of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xml:space="preserve">. Indeed, Siemens top management acknowledged the importance of capabilities as well as its fit with the environment for the firm’s long-term success. In 2007, then Chief Strategy Officer Horst </w:t>
      </w:r>
      <w:proofErr w:type="spellStart"/>
      <w:r w:rsidRPr="00241E70">
        <w:rPr>
          <w:rFonts w:ascii="Helvetica" w:eastAsia="Times New Roman" w:hAnsi="Helvetica" w:cs="Helvetica"/>
          <w:color w:val="3F3F3F"/>
          <w:sz w:val="23"/>
          <w:szCs w:val="23"/>
        </w:rPr>
        <w:t>Kayser</w:t>
      </w:r>
      <w:proofErr w:type="spellEnd"/>
      <w:r w:rsidRPr="00241E70">
        <w:rPr>
          <w:rFonts w:ascii="Helvetica" w:eastAsia="Times New Roman" w:hAnsi="Helvetica" w:cs="Helvetica"/>
          <w:color w:val="3F3F3F"/>
          <w:sz w:val="23"/>
          <w:szCs w:val="23"/>
        </w:rPr>
        <w:t xml:space="preserve"> remarked:</w:t>
      </w:r>
    </w:p>
    <w:p w14:paraId="46984DFE" w14:textId="77777777" w:rsidR="00241E70" w:rsidRPr="00241E70" w:rsidRDefault="00241E70" w:rsidP="00241E70">
      <w:pPr>
        <w:shd w:val="clear" w:color="auto" w:fill="F1F1F1"/>
        <w:spacing w:line="240" w:lineRule="auto"/>
        <w:rPr>
          <w:rFonts w:ascii="Helvetica" w:eastAsia="Times New Roman" w:hAnsi="Helvetica" w:cs="Helvetica"/>
          <w:i/>
          <w:iCs/>
          <w:color w:val="3F3F3F"/>
          <w:sz w:val="23"/>
          <w:szCs w:val="23"/>
        </w:rPr>
      </w:pPr>
      <w:r w:rsidRPr="00241E70">
        <w:rPr>
          <w:rFonts w:ascii="Helvetica" w:eastAsia="Times New Roman" w:hAnsi="Helvetica" w:cs="Helvetica"/>
          <w:i/>
          <w:iCs/>
          <w:color w:val="3F3F3F"/>
          <w:sz w:val="23"/>
          <w:szCs w:val="23"/>
        </w:rPr>
        <w:t>“Management Capabilities are decisive for sustainable competitive advantage. We regard a portfolio of experiences and competences and its consistency with the external environment as critical for success.”</w:t>
      </w:r>
      <w:r w:rsidRPr="00241E70">
        <w:rPr>
          <w:rFonts w:ascii="Helvetica" w:eastAsia="Times New Roman" w:hAnsi="Helvetica" w:cs="Helvetica"/>
          <w:i/>
          <w:iCs/>
          <w:noProof/>
          <w:color w:val="006298"/>
          <w:sz w:val="23"/>
          <w:szCs w:val="23"/>
        </w:rPr>
        <w:drawing>
          <wp:inline distT="0" distB="0" distL="0" distR="0" wp14:anchorId="46475D1D" wp14:editId="3ACBFCE0">
            <wp:extent cx="120650" cy="120650"/>
            <wp:effectExtent l="0" t="0" r="0" b="0"/>
            <wp:docPr id="43" name="Picture 43" descr="https://ng.cengage.com/static/nbapps/glossary/images/footstar.png">
              <a:hlinkClick xmlns:a="http://schemas.openxmlformats.org/drawingml/2006/main" r:id="rId9"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ng.cengage.com/static/nbapps/glossary/images/footstar.png">
                      <a:hlinkClick r:id="rId8"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5BF4F039"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In particular,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program emphasized different aspects of organizational learning such as experiential learning, knowledge management, and best-practice transfer. First, the program aimed at using accumulated management experience in multiple areas. For example, in 2001, Siemens Dematic and Siemens VDO Automotive launched restructuring and integration programs that explicitly built upon prior experiences with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and were expected to result in productivity gains of</w:t>
      </w:r>
      <w:bookmarkStart w:id="9" w:name="PageEnd_C-202"/>
      <w:bookmarkEnd w:id="9"/>
      <w:r w:rsidRPr="00241E70">
        <w:rPr>
          <w:rFonts w:ascii="Helvetica" w:eastAsia="Times New Roman" w:hAnsi="Helvetica" w:cs="Helvetica"/>
          <w:color w:val="3F3F3F"/>
          <w:sz w:val="23"/>
          <w:szCs w:val="23"/>
        </w:rPr>
        <w:t> about 1 billion EUR for each group.</w:t>
      </w:r>
      <w:r w:rsidRPr="00241E70">
        <w:rPr>
          <w:rFonts w:ascii="Helvetica" w:eastAsia="Times New Roman" w:hAnsi="Helvetica" w:cs="Helvetica"/>
          <w:noProof/>
          <w:color w:val="006298"/>
          <w:sz w:val="23"/>
          <w:szCs w:val="23"/>
        </w:rPr>
        <w:drawing>
          <wp:inline distT="0" distB="0" distL="0" distR="0" wp14:anchorId="3EB0E0F6" wp14:editId="22B31110">
            <wp:extent cx="120650" cy="120650"/>
            <wp:effectExtent l="0" t="0" r="0" b="0"/>
            <wp:docPr id="44" name="Picture 44"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ng.cengage.com/static/nbapps/glossary/images/footstar.png">
                      <a:hlinkClick r:id="rId12"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Helvetica" w:eastAsia="Times New Roman" w:hAnsi="Helvetica" w:cs="Helvetica"/>
          <w:color w:val="3F3F3F"/>
          <w:sz w:val="23"/>
          <w:szCs w:val="23"/>
        </w:rPr>
        <w:t> Second, knowledge management was a central aspect of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and an integral part of several different initiatives such as the project management initiative and the quality initiative. Third, Siemens top management emphasized the importance of best-practice transfer for the success of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program. From the relaunch of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in 1998 onwards,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xml:space="preserve"> reflected Siemens’ corporate principles and built upon best-practice sharing and learning. For example, in 1998 von </w:t>
      </w:r>
      <w:proofErr w:type="spellStart"/>
      <w:r w:rsidRPr="00241E70">
        <w:rPr>
          <w:rFonts w:ascii="Helvetica" w:eastAsia="Times New Roman" w:hAnsi="Helvetica" w:cs="Helvetica"/>
          <w:color w:val="3F3F3F"/>
          <w:sz w:val="23"/>
          <w:szCs w:val="23"/>
        </w:rPr>
        <w:t>Pierer</w:t>
      </w:r>
      <w:proofErr w:type="spellEnd"/>
      <w:r w:rsidRPr="00241E70">
        <w:rPr>
          <w:rFonts w:ascii="Helvetica" w:eastAsia="Times New Roman" w:hAnsi="Helvetica" w:cs="Helvetica"/>
          <w:color w:val="3F3F3F"/>
          <w:sz w:val="23"/>
          <w:szCs w:val="23"/>
        </w:rPr>
        <w:t xml:space="preserve"> remarked:</w:t>
      </w:r>
    </w:p>
    <w:p w14:paraId="5EB0AA93" w14:textId="77777777" w:rsidR="00241E70" w:rsidRPr="00241E70" w:rsidRDefault="00241E70" w:rsidP="00241E70">
      <w:pPr>
        <w:shd w:val="clear" w:color="auto" w:fill="F1F1F1"/>
        <w:spacing w:line="240" w:lineRule="auto"/>
        <w:rPr>
          <w:rFonts w:ascii="Helvetica" w:eastAsia="Times New Roman" w:hAnsi="Helvetica" w:cs="Helvetica"/>
          <w:i/>
          <w:iCs/>
          <w:color w:val="3F3F3F"/>
          <w:sz w:val="23"/>
          <w:szCs w:val="23"/>
        </w:rPr>
      </w:pPr>
      <w:r w:rsidRPr="00241E70">
        <w:rPr>
          <w:rFonts w:ascii="Helvetica" w:eastAsia="Times New Roman" w:hAnsi="Helvetica" w:cs="Helvetica"/>
          <w:i/>
          <w:iCs/>
          <w:color w:val="3F3F3F"/>
          <w:sz w:val="23"/>
          <w:szCs w:val="23"/>
        </w:rPr>
        <w:t>“The associated best-practice campaign stresses learning from outstanding models of efficiency both within and beyond the Company. top+ is driven by the new corporate principles, which were formulated last year.”</w:t>
      </w:r>
      <w:r w:rsidRPr="00241E70">
        <w:rPr>
          <w:rFonts w:ascii="Helvetica" w:eastAsia="Times New Roman" w:hAnsi="Helvetica" w:cs="Helvetica"/>
          <w:i/>
          <w:iCs/>
          <w:noProof/>
          <w:color w:val="006298"/>
          <w:sz w:val="23"/>
          <w:szCs w:val="23"/>
        </w:rPr>
        <w:drawing>
          <wp:inline distT="0" distB="0" distL="0" distR="0" wp14:anchorId="4AA26888" wp14:editId="5390FB74">
            <wp:extent cx="120650" cy="120650"/>
            <wp:effectExtent l="0" t="0" r="0" b="0"/>
            <wp:docPr id="45" name="Picture 45" descr="https://ng.cengage.com/static/nbapps/glossary/images/footstar.png">
              <a:hlinkClick xmlns:a="http://schemas.openxmlformats.org/drawingml/2006/main" r:id="rId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ng.cengage.com/static/nbapps/glossary/images/footstar.png">
                      <a:hlinkClick r:id="rId6"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3A8CAA83"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Knowledge management and best-practice transfer both were facilitated by dedicated initiatives, which were also part of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These initiatives aimed at issues such as providing the infrastructure and assistance necessary to effectively store individual experiences via databases, etc. Further, they included a communication strategy for exchanging both experiences and stored knowledge (Davenport &amp; Probst, 2002). Although the application of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xml:space="preserve"> tools was supposed to result in value creation, the sharing of best practices across group boundaries was considered important. As von </w:t>
      </w:r>
      <w:proofErr w:type="spellStart"/>
      <w:r w:rsidRPr="00241E70">
        <w:rPr>
          <w:rFonts w:ascii="Helvetica" w:eastAsia="Times New Roman" w:hAnsi="Helvetica" w:cs="Helvetica"/>
          <w:color w:val="3F3F3F"/>
          <w:sz w:val="23"/>
          <w:szCs w:val="23"/>
        </w:rPr>
        <w:t>Pierer</w:t>
      </w:r>
      <w:proofErr w:type="spellEnd"/>
      <w:r w:rsidRPr="00241E70">
        <w:rPr>
          <w:rFonts w:ascii="Helvetica" w:eastAsia="Times New Roman" w:hAnsi="Helvetica" w:cs="Helvetica"/>
          <w:color w:val="3F3F3F"/>
          <w:sz w:val="23"/>
          <w:szCs w:val="23"/>
        </w:rPr>
        <w:t xml:space="preserve"> noted, the complementary function of knowledge transfer also demanded significant cultural changes within the firm:</w:t>
      </w:r>
    </w:p>
    <w:p w14:paraId="417626A7" w14:textId="77777777" w:rsidR="00241E70" w:rsidRPr="00241E70" w:rsidRDefault="00241E70" w:rsidP="00241E70">
      <w:pPr>
        <w:shd w:val="clear" w:color="auto" w:fill="F1F1F1"/>
        <w:spacing w:line="240" w:lineRule="auto"/>
        <w:rPr>
          <w:rFonts w:ascii="Helvetica" w:eastAsia="Times New Roman" w:hAnsi="Helvetica" w:cs="Helvetica"/>
          <w:i/>
          <w:iCs/>
          <w:color w:val="3F3F3F"/>
          <w:sz w:val="23"/>
          <w:szCs w:val="23"/>
        </w:rPr>
      </w:pPr>
      <w:r w:rsidRPr="00241E70">
        <w:rPr>
          <w:rFonts w:ascii="Helvetica" w:eastAsia="Times New Roman" w:hAnsi="Helvetica" w:cs="Helvetica"/>
          <w:i/>
          <w:iCs/>
          <w:color w:val="3F3F3F"/>
          <w:sz w:val="23"/>
          <w:szCs w:val="23"/>
        </w:rPr>
        <w:lastRenderedPageBreak/>
        <w:t>“These tools are complemented by the systematic sharing of best practices: each Siemens business learns from the others. We are also continuing to reshape our corporate culture, particularly in the areas of management and cooperation.”</w:t>
      </w:r>
      <w:r w:rsidRPr="00241E70">
        <w:rPr>
          <w:rFonts w:ascii="Helvetica" w:eastAsia="Times New Roman" w:hAnsi="Helvetica" w:cs="Helvetica"/>
          <w:i/>
          <w:iCs/>
          <w:noProof/>
          <w:color w:val="006298"/>
          <w:sz w:val="23"/>
          <w:szCs w:val="23"/>
        </w:rPr>
        <w:drawing>
          <wp:inline distT="0" distB="0" distL="0" distR="0" wp14:anchorId="7C0B6701" wp14:editId="5C7B97B5">
            <wp:extent cx="120650" cy="120650"/>
            <wp:effectExtent l="0" t="0" r="0" b="0"/>
            <wp:docPr id="46" name="Picture 46" descr="https://ng.cengage.com/static/nbapps/glossary/images/footstar.png">
              <a:hlinkClick xmlns:a="http://schemas.openxmlformats.org/drawingml/2006/main" r:id="rId10"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ng.cengage.com/static/nbapps/glossary/images/footstar.png">
                      <a:hlinkClick r:id="rId10"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6CB59DF2"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Siemens’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program not only comprised initiatives and tools to build distinct managerial competences, but also was itself intended to lead to a business excellence or management innovation competence. Several aspects facilitated the development of such a corporate-level capability, particularly through experience accumulation. First, from the beginning of the initiative, the firm’s top management created a dedicated function in the corporate center for centrally coordinating and managing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program. Second,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was characterized by a high degree of management continuity. For example, from 1993 until the beginning of 2007, only two members of the managing board were responsible for the program. In addition, the manager heading the initiative until the end of the investigated period in 2007 held this position for more than five years. Further,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managers were frequently recruited from the in-house consultancy SMC and thus often had prior experience with the program.</w:t>
      </w:r>
    </w:p>
    <w:p w14:paraId="0E793F7C" w14:textId="77777777" w:rsidR="00241E70" w:rsidRPr="00241E70" w:rsidRDefault="00241E70" w:rsidP="00241E70">
      <w:pPr>
        <w:pStyle w:val="Heading2"/>
        <w:shd w:val="clear" w:color="auto" w:fill="FFFFFF"/>
        <w:rPr>
          <w:rFonts w:ascii="Tahoma" w:eastAsia="Times New Roman" w:hAnsi="Tahoma" w:cs="Tahoma"/>
          <w:b/>
          <w:bCs/>
          <w:color w:val="DF7300"/>
          <w:sz w:val="54"/>
          <w:szCs w:val="54"/>
        </w:rPr>
      </w:pPr>
      <w:r w:rsidRPr="00241E70">
        <w:rPr>
          <w:rFonts w:ascii="Helvetica" w:eastAsia="Times New Roman" w:hAnsi="Helvetica" w:cs="Helvetica"/>
          <w:color w:val="3F3F3F"/>
          <w:sz w:val="23"/>
          <w:szCs w:val="23"/>
        </w:rPr>
        <w:t>Besides accumulating experience, more deliberate learning also occurred. Knowledge management tools such as databases, directories, and manuals were used for storing the knowledge acquired.</w:t>
      </w:r>
      <w:r w:rsidRPr="00241E70">
        <w:rPr>
          <w:rFonts w:ascii="Helvetica" w:eastAsia="Times New Roman" w:hAnsi="Helvetica" w:cs="Helvetica"/>
          <w:noProof/>
          <w:color w:val="006298"/>
          <w:sz w:val="23"/>
          <w:szCs w:val="23"/>
        </w:rPr>
        <w:drawing>
          <wp:inline distT="0" distB="0" distL="0" distR="0" wp14:anchorId="0C77EED2" wp14:editId="7011AFA0">
            <wp:extent cx="120650" cy="120650"/>
            <wp:effectExtent l="0" t="0" r="0" b="0"/>
            <wp:docPr id="47" name="Picture 47" descr="https://ng.cengage.com/static/nbapps/glossary/images/footstar.png">
              <a:hlinkClick xmlns:a="http://schemas.openxmlformats.org/drawingml/2006/main" r:id="rId9"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ng.cengage.com/static/nbapps/glossary/images/footstar.png">
                      <a:hlinkClick r:id="rId8"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Helvetica" w:eastAsia="Times New Roman" w:hAnsi="Helvetica" w:cs="Helvetica"/>
          <w:color w:val="3F3F3F"/>
          <w:sz w:val="23"/>
          <w:szCs w:val="23"/>
        </w:rPr>
        <w:t> Communication of the knowledge acquired was another central element of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program. For example, from the beginning of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initiative onward, Siemens centered its efforts on the development of a common language. Facilitated by internal publications such as magazines, intranets, and even a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book”, a common understanding of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program and its key learnings was considered critical for the success of the program.</w:t>
      </w:r>
      <w:r w:rsidRPr="00241E70">
        <w:rPr>
          <w:rFonts w:ascii="Tahoma" w:eastAsia="Times New Roman" w:hAnsi="Tahoma" w:cs="Tahoma"/>
          <w:b/>
          <w:bCs/>
          <w:color w:val="DF7300"/>
          <w:sz w:val="54"/>
          <w:szCs w:val="54"/>
        </w:rPr>
        <w:t xml:space="preserve"> Performance (Measurement) of the </w:t>
      </w:r>
      <w:r w:rsidRPr="00241E70">
        <w:rPr>
          <w:rFonts w:ascii="Tahoma" w:eastAsia="Times New Roman" w:hAnsi="Tahoma" w:cs="Tahoma"/>
          <w:b/>
          <w:bCs/>
          <w:i/>
          <w:iCs/>
          <w:color w:val="DF7300"/>
          <w:sz w:val="54"/>
          <w:szCs w:val="54"/>
        </w:rPr>
        <w:t>top</w:t>
      </w:r>
      <w:r w:rsidRPr="00241E70">
        <w:rPr>
          <w:rFonts w:ascii="Tahoma" w:eastAsia="Times New Roman" w:hAnsi="Tahoma" w:cs="Tahoma"/>
          <w:b/>
          <w:bCs/>
          <w:color w:val="DF7300"/>
          <w:sz w:val="41"/>
          <w:szCs w:val="41"/>
          <w:vertAlign w:val="superscript"/>
        </w:rPr>
        <w:t>+</w:t>
      </w:r>
      <w:r w:rsidRPr="00241E70">
        <w:rPr>
          <w:rFonts w:ascii="Tahoma" w:eastAsia="Times New Roman" w:hAnsi="Tahoma" w:cs="Tahoma"/>
          <w:b/>
          <w:bCs/>
          <w:color w:val="DF7300"/>
          <w:sz w:val="54"/>
          <w:szCs w:val="54"/>
        </w:rPr>
        <w:t> Program</w:t>
      </w:r>
    </w:p>
    <w:p w14:paraId="5C85212E" w14:textId="77777777" w:rsidR="00241E70" w:rsidRPr="00241E70" w:rsidRDefault="00241E70" w:rsidP="00241E70">
      <w:pPr>
        <w:shd w:val="clear" w:color="auto" w:fill="FFFFFF"/>
        <w:spacing w:after="225" w:line="240" w:lineRule="auto"/>
        <w:ind w:left="975" w:right="975"/>
        <w:rPr>
          <w:rFonts w:ascii="Cambria" w:eastAsia="Times New Roman" w:hAnsi="Cambria" w:cs="Times New Roman"/>
          <w:color w:val="575757"/>
          <w:sz w:val="27"/>
          <w:szCs w:val="27"/>
        </w:rPr>
      </w:pPr>
      <w:r w:rsidRPr="00241E70">
        <w:rPr>
          <w:rFonts w:ascii="Cambria" w:eastAsia="Times New Roman" w:hAnsi="Cambria" w:cs="Times New Roman"/>
          <w:color w:val="575757"/>
          <w:sz w:val="27"/>
          <w:szCs w:val="27"/>
        </w:rPr>
        <w:t>From the (re)launch of the program in 1998 until 2007, increasing firm performance was the primary objective of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(and is still today). Therefore, the firm’s top management team considered performance measurement at all levels as a highly critical task.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program was not only supposed to result in major improvements, but was also meant to enable common performance measures:</w:t>
      </w:r>
    </w:p>
    <w:p w14:paraId="7A56D732" w14:textId="77777777" w:rsidR="00241E70" w:rsidRPr="00241E70" w:rsidRDefault="00241E70" w:rsidP="00241E70">
      <w:pPr>
        <w:shd w:val="clear" w:color="auto" w:fill="F1F1F1"/>
        <w:spacing w:line="240" w:lineRule="auto"/>
        <w:rPr>
          <w:rFonts w:ascii="Cambria" w:eastAsia="Times New Roman" w:hAnsi="Cambria" w:cs="Times New Roman"/>
          <w:i/>
          <w:iCs/>
          <w:color w:val="575757"/>
          <w:sz w:val="27"/>
          <w:szCs w:val="27"/>
        </w:rPr>
      </w:pPr>
      <w:r w:rsidRPr="00241E70">
        <w:rPr>
          <w:rFonts w:ascii="Cambria" w:eastAsia="Times New Roman" w:hAnsi="Cambria" w:cs="Times New Roman"/>
          <w:i/>
          <w:iCs/>
          <w:color w:val="575757"/>
          <w:sz w:val="27"/>
          <w:szCs w:val="27"/>
        </w:rPr>
        <w:t>“When it comes to performance, our proven top+ processes and procedures ensure that we all speak the same language. We set clear and measurable goals and define and rigorously implement the concrete measures required to achieve them.”</w:t>
      </w:r>
      <w:r w:rsidRPr="00241E70">
        <w:rPr>
          <w:rFonts w:ascii="Cambria" w:eastAsia="Times New Roman" w:hAnsi="Cambria" w:cs="Times New Roman"/>
          <w:i/>
          <w:iCs/>
          <w:noProof/>
          <w:color w:val="007DB8"/>
          <w:sz w:val="27"/>
          <w:szCs w:val="27"/>
        </w:rPr>
        <w:drawing>
          <wp:inline distT="0" distB="0" distL="0" distR="0" wp14:anchorId="718B75F2" wp14:editId="0E38C99E">
            <wp:extent cx="120650" cy="120650"/>
            <wp:effectExtent l="0" t="0" r="0" b="0"/>
            <wp:docPr id="48" name="Picture 48"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ng.cengage.com/static/nbapps/glossary/images/footstar.png">
                      <a:hlinkClick r:id="rId12"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708A922C" w14:textId="77777777" w:rsidR="00241E70" w:rsidRPr="00241E70" w:rsidRDefault="00241E70" w:rsidP="00241E70">
      <w:pPr>
        <w:shd w:val="clear" w:color="auto" w:fill="FFFFFF"/>
        <w:spacing w:after="225" w:line="240" w:lineRule="auto"/>
        <w:ind w:left="975" w:right="975"/>
        <w:rPr>
          <w:rFonts w:ascii="Cambria" w:eastAsia="Times New Roman" w:hAnsi="Cambria" w:cs="Times New Roman"/>
          <w:color w:val="575757"/>
          <w:sz w:val="27"/>
          <w:szCs w:val="27"/>
        </w:rPr>
      </w:pPr>
      <w:r w:rsidRPr="00241E70">
        <w:rPr>
          <w:rFonts w:ascii="Cambria" w:eastAsia="Times New Roman" w:hAnsi="Cambria" w:cs="Times New Roman"/>
          <w:color w:val="575757"/>
          <w:sz w:val="27"/>
          <w:szCs w:val="27"/>
        </w:rPr>
        <w:t>As indicated in </w:t>
      </w:r>
      <w:hyperlink r:id="rId13" w:history="1">
        <w:r w:rsidRPr="00241E70">
          <w:rPr>
            <w:rFonts w:ascii="Cambria" w:eastAsia="Times New Roman" w:hAnsi="Cambria" w:cs="Times New Roman"/>
            <w:color w:val="007DB8"/>
            <w:sz w:val="27"/>
            <w:szCs w:val="27"/>
            <w:u w:val="single"/>
          </w:rPr>
          <w:t>Exhibit 7</w:t>
        </w:r>
      </w:hyperlink>
      <w:r w:rsidRPr="00241E70">
        <w:rPr>
          <w:rFonts w:ascii="Cambria" w:eastAsia="Times New Roman" w:hAnsi="Cambria" w:cs="Times New Roman"/>
          <w:color w:val="575757"/>
          <w:sz w:val="27"/>
          <w:szCs w:val="27"/>
        </w:rPr>
        <w:t xml:space="preserve">, Siemens management assessed the performance at the firm, operating group, and program levels. </w:t>
      </w:r>
      <w:r w:rsidRPr="00241E70">
        <w:rPr>
          <w:rFonts w:ascii="Cambria" w:eastAsia="Times New Roman" w:hAnsi="Cambria" w:cs="Times New Roman"/>
          <w:color w:val="575757"/>
          <w:sz w:val="27"/>
          <w:szCs w:val="27"/>
        </w:rPr>
        <w:lastRenderedPageBreak/>
        <w:t>First, the overall priority was to achieve an increase in EVA.</w:t>
      </w:r>
      <w:r w:rsidRPr="00241E70">
        <w:rPr>
          <w:rFonts w:ascii="Cambria" w:eastAsia="Times New Roman" w:hAnsi="Cambria" w:cs="Times New Roman"/>
          <w:noProof/>
          <w:color w:val="007DB8"/>
          <w:sz w:val="27"/>
          <w:szCs w:val="27"/>
        </w:rPr>
        <w:drawing>
          <wp:inline distT="0" distB="0" distL="0" distR="0" wp14:anchorId="339B59E3" wp14:editId="69D428BD">
            <wp:extent cx="120650" cy="120650"/>
            <wp:effectExtent l="0" t="0" r="0" b="0"/>
            <wp:docPr id="49" name="Picture 49" descr="https://ng.cengage.com/static/nbapps/glossary/images/footstar.png">
              <a:hlinkClick xmlns:a="http://schemas.openxmlformats.org/drawingml/2006/main" r:id="rId4"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ng.cengage.com/static/nbapps/glossary/images/footstar.png">
                      <a:hlinkClick r:id="rId9"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Cambria" w:eastAsia="Times New Roman" w:hAnsi="Cambria" w:cs="Times New Roman"/>
          <w:color w:val="575757"/>
          <w:sz w:val="27"/>
          <w:szCs w:val="27"/>
        </w:rPr>
        <w:t> Further measures included the growth rate (which should be twice the global gross domestic product (GDP)), return on capital employed (ROCE), the cash conversion rate (CCR) minus the revenue growth rate, and the ratio of adjusted industrial net debt to (adjusted) earnings before interest, taxes, depreciation, and amortization (EBITDA)). Second, operating group-level performance was also assessed with financial measures. Specific target margins ranges were defined individually for each group and periodically revised. For example, management adjusted the margin ranges with the transition from the Fit</w:t>
      </w:r>
      <w:r w:rsidRPr="00241E70">
        <w:rPr>
          <w:rFonts w:ascii="Cambria" w:eastAsia="Times New Roman" w:hAnsi="Cambria" w:cs="Times New Roman"/>
          <w:i/>
          <w:iCs/>
          <w:color w:val="575757"/>
          <w:sz w:val="27"/>
          <w:szCs w:val="27"/>
        </w:rPr>
        <w:t>4</w:t>
      </w:r>
      <w:r w:rsidRPr="00241E70">
        <w:rPr>
          <w:rFonts w:ascii="Cambria" w:eastAsia="Times New Roman" w:hAnsi="Cambria" w:cs="Times New Roman"/>
          <w:color w:val="575757"/>
          <w:sz w:val="27"/>
          <w:szCs w:val="27"/>
        </w:rPr>
        <w:t>More to Fit</w:t>
      </w:r>
      <w:r w:rsidRPr="00241E70">
        <w:rPr>
          <w:rFonts w:ascii="Cambria" w:eastAsia="Times New Roman" w:hAnsi="Cambria" w:cs="Times New Roman"/>
          <w:i/>
          <w:iCs/>
          <w:color w:val="575757"/>
          <w:sz w:val="27"/>
          <w:szCs w:val="27"/>
        </w:rPr>
        <w:t>4</w:t>
      </w:r>
      <w:r w:rsidRPr="00241E70">
        <w:rPr>
          <w:rFonts w:ascii="Cambria" w:eastAsia="Times New Roman" w:hAnsi="Cambria" w:cs="Times New Roman"/>
          <w:color w:val="575757"/>
          <w:sz w:val="27"/>
          <w:szCs w:val="27"/>
        </w:rPr>
        <w:t>2010 SMS. Third,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program management assessed performance with non-financial measures on the program- and sub-program level. The different measures were customized for the specific targets of three sub-programs – innovation, customer focus, and global competitiveness.</w:t>
      </w:r>
      <w:bookmarkStart w:id="10" w:name="PageEnd_C-203"/>
      <w:bookmarkEnd w:id="10"/>
      <w:r w:rsidRPr="00241E70">
        <w:rPr>
          <w:rFonts w:ascii="Cambria" w:eastAsia="Times New Roman" w:hAnsi="Cambria" w:cs="Times New Roman"/>
          <w:color w:val="575757"/>
          <w:sz w:val="27"/>
          <w:szCs w:val="27"/>
        </w:rPr>
        <w:t> To assess the performance of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customer focus program, for example, the quality of the customer relationships in operating businesses was measured by the “Net Promoter Score” (likelihood that customers recommend products/services).</w:t>
      </w:r>
      <w:r w:rsidRPr="00241E70">
        <w:rPr>
          <w:rFonts w:ascii="Cambria" w:eastAsia="Times New Roman" w:hAnsi="Cambria" w:cs="Times New Roman"/>
          <w:noProof/>
          <w:color w:val="007DB8"/>
          <w:sz w:val="27"/>
          <w:szCs w:val="27"/>
        </w:rPr>
        <w:drawing>
          <wp:inline distT="0" distB="0" distL="0" distR="0" wp14:anchorId="0B2BBB3F" wp14:editId="27BB1889">
            <wp:extent cx="120650" cy="120650"/>
            <wp:effectExtent l="0" t="0" r="0" b="0"/>
            <wp:docPr id="50" name="Picture 50" descr="https://ng.cengage.com/static/nbapps/glossary/images/footstar.png">
              <a:hlinkClick xmlns:a="http://schemas.openxmlformats.org/drawingml/2006/main" r:id="rId13"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ng.cengage.com/static/nbapps/glossary/images/footstar.png">
                      <a:hlinkClick r:id="rId7"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0F168950" w14:textId="77777777" w:rsidR="00241E70" w:rsidRPr="00241E70" w:rsidRDefault="00241E70" w:rsidP="00241E70">
      <w:pPr>
        <w:spacing w:after="0" w:line="240" w:lineRule="auto"/>
        <w:rPr>
          <w:rFonts w:ascii="Cambria" w:eastAsia="Times New Roman" w:hAnsi="Cambria" w:cs="Times New Roman"/>
          <w:color w:val="575757"/>
          <w:sz w:val="27"/>
          <w:szCs w:val="27"/>
        </w:rPr>
      </w:pPr>
      <w:r w:rsidRPr="00241E70">
        <w:rPr>
          <w:rFonts w:ascii="Tahoma" w:eastAsia="Times New Roman" w:hAnsi="Tahoma" w:cs="Tahoma"/>
          <w:color w:val="575757"/>
          <w:sz w:val="30"/>
          <w:szCs w:val="30"/>
          <w:shd w:val="clear" w:color="auto" w:fill="80B33D"/>
        </w:rPr>
        <w:t>Exhibit 7</w:t>
      </w:r>
    </w:p>
    <w:p w14:paraId="6E9E881E" w14:textId="77777777" w:rsidR="00241E70" w:rsidRPr="00241E70" w:rsidRDefault="00241E70" w:rsidP="00241E70">
      <w:pPr>
        <w:spacing w:line="240" w:lineRule="auto"/>
        <w:ind w:left="375"/>
        <w:outlineLvl w:val="2"/>
        <w:rPr>
          <w:rFonts w:ascii="Tahoma" w:eastAsia="Times New Roman" w:hAnsi="Tahoma" w:cs="Tahoma"/>
          <w:b/>
          <w:bCs/>
          <w:color w:val="575757"/>
          <w:sz w:val="30"/>
          <w:szCs w:val="30"/>
        </w:rPr>
      </w:pPr>
      <w:r w:rsidRPr="00241E70">
        <w:rPr>
          <w:rFonts w:ascii="Tahoma" w:eastAsia="Times New Roman" w:hAnsi="Tahoma" w:cs="Tahoma"/>
          <w:b/>
          <w:bCs/>
          <w:color w:val="575757"/>
          <w:sz w:val="30"/>
          <w:szCs w:val="30"/>
        </w:rPr>
        <w:t>Siemens Performance Measures in 2007</w:t>
      </w:r>
    </w:p>
    <w:tbl>
      <w:tblPr>
        <w:tblW w:w="9195"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1880"/>
        <w:gridCol w:w="1707"/>
        <w:gridCol w:w="1721"/>
        <w:gridCol w:w="3887"/>
      </w:tblGrid>
      <w:tr w:rsidR="00241E70" w:rsidRPr="00241E70" w14:paraId="3BD58EF7" w14:textId="77777777" w:rsidTr="00241E70">
        <w:trPr>
          <w:tblHeader/>
        </w:trPr>
        <w:tc>
          <w:tcPr>
            <w:tcW w:w="0" w:type="auto"/>
            <w:tcBorders>
              <w:top w:val="nil"/>
              <w:left w:val="nil"/>
              <w:bottom w:val="nil"/>
              <w:right w:val="single" w:sz="6" w:space="0" w:color="000000"/>
            </w:tcBorders>
            <w:shd w:val="clear" w:color="auto" w:fill="E9E9E9"/>
            <w:tcMar>
              <w:top w:w="105" w:type="dxa"/>
              <w:left w:w="105" w:type="dxa"/>
              <w:bottom w:w="105" w:type="dxa"/>
              <w:right w:w="105" w:type="dxa"/>
            </w:tcMar>
            <w:hideMark/>
          </w:tcPr>
          <w:p w14:paraId="52D8E0BB" w14:textId="77777777" w:rsidR="00241E70" w:rsidRPr="00241E70" w:rsidRDefault="00241E70" w:rsidP="00241E70">
            <w:pPr>
              <w:spacing w:after="0" w:line="240" w:lineRule="auto"/>
              <w:rPr>
                <w:rFonts w:ascii="Tahoma" w:eastAsia="Times New Roman" w:hAnsi="Tahoma" w:cs="Tahoma"/>
                <w:b/>
                <w:bCs/>
                <w:color w:val="696969"/>
                <w:sz w:val="23"/>
                <w:szCs w:val="23"/>
              </w:rPr>
            </w:pPr>
            <w:r w:rsidRPr="00241E70">
              <w:rPr>
                <w:rFonts w:ascii="Tahoma" w:eastAsia="Times New Roman" w:hAnsi="Tahoma" w:cs="Tahoma"/>
                <w:b/>
                <w:bCs/>
                <w:color w:val="696969"/>
                <w:sz w:val="23"/>
                <w:szCs w:val="23"/>
              </w:rPr>
              <w:t>Level of Performance Analysis</w:t>
            </w:r>
          </w:p>
        </w:tc>
        <w:tc>
          <w:tcPr>
            <w:tcW w:w="0" w:type="auto"/>
            <w:tcBorders>
              <w:top w:val="nil"/>
              <w:left w:val="nil"/>
              <w:bottom w:val="nil"/>
              <w:right w:val="single" w:sz="6" w:space="0" w:color="000000"/>
            </w:tcBorders>
            <w:shd w:val="clear" w:color="auto" w:fill="E9E9E9"/>
            <w:tcMar>
              <w:top w:w="105" w:type="dxa"/>
              <w:left w:w="105" w:type="dxa"/>
              <w:bottom w:w="105" w:type="dxa"/>
              <w:right w:w="105" w:type="dxa"/>
            </w:tcMar>
            <w:hideMark/>
          </w:tcPr>
          <w:p w14:paraId="65324D42" w14:textId="77777777" w:rsidR="00241E70" w:rsidRPr="00241E70" w:rsidRDefault="00241E70" w:rsidP="00241E70">
            <w:pPr>
              <w:spacing w:after="0" w:line="240" w:lineRule="auto"/>
              <w:rPr>
                <w:rFonts w:ascii="Tahoma" w:eastAsia="Times New Roman" w:hAnsi="Tahoma" w:cs="Tahoma"/>
                <w:b/>
                <w:bCs/>
                <w:color w:val="696969"/>
                <w:sz w:val="23"/>
                <w:szCs w:val="23"/>
              </w:rPr>
            </w:pPr>
            <w:r w:rsidRPr="00241E70">
              <w:rPr>
                <w:rFonts w:ascii="Tahoma" w:eastAsia="Times New Roman" w:hAnsi="Tahoma" w:cs="Tahoma"/>
                <w:b/>
                <w:bCs/>
                <w:color w:val="696969"/>
                <w:sz w:val="23"/>
                <w:szCs w:val="23"/>
              </w:rPr>
              <w:t>Type of Performance Measure</w:t>
            </w:r>
          </w:p>
        </w:tc>
        <w:tc>
          <w:tcPr>
            <w:tcW w:w="0" w:type="auto"/>
            <w:tcBorders>
              <w:top w:val="nil"/>
              <w:left w:val="nil"/>
              <w:bottom w:val="nil"/>
              <w:right w:val="single" w:sz="6" w:space="0" w:color="000000"/>
            </w:tcBorders>
            <w:shd w:val="clear" w:color="auto" w:fill="E9E9E9"/>
            <w:tcMar>
              <w:top w:w="105" w:type="dxa"/>
              <w:left w:w="105" w:type="dxa"/>
              <w:bottom w:w="105" w:type="dxa"/>
              <w:right w:w="105" w:type="dxa"/>
            </w:tcMar>
            <w:hideMark/>
          </w:tcPr>
          <w:p w14:paraId="55CAC952" w14:textId="77777777" w:rsidR="00241E70" w:rsidRPr="00241E70" w:rsidRDefault="00241E70" w:rsidP="00241E70">
            <w:pPr>
              <w:spacing w:after="0" w:line="240" w:lineRule="auto"/>
              <w:rPr>
                <w:rFonts w:ascii="Tahoma" w:eastAsia="Times New Roman" w:hAnsi="Tahoma" w:cs="Tahoma"/>
                <w:b/>
                <w:bCs/>
                <w:color w:val="696969"/>
                <w:sz w:val="23"/>
                <w:szCs w:val="23"/>
              </w:rPr>
            </w:pPr>
            <w:r w:rsidRPr="00241E70">
              <w:rPr>
                <w:rFonts w:ascii="Tahoma" w:eastAsia="Times New Roman" w:hAnsi="Tahoma" w:cs="Tahoma"/>
                <w:b/>
                <w:bCs/>
                <w:color w:val="696969"/>
                <w:sz w:val="23"/>
                <w:szCs w:val="23"/>
              </w:rPr>
              <w:t>Performance Measure(s)</w:t>
            </w:r>
          </w:p>
        </w:tc>
        <w:tc>
          <w:tcPr>
            <w:tcW w:w="0" w:type="auto"/>
            <w:tcBorders>
              <w:top w:val="nil"/>
              <w:left w:val="nil"/>
              <w:bottom w:val="nil"/>
              <w:right w:val="nil"/>
            </w:tcBorders>
            <w:shd w:val="clear" w:color="auto" w:fill="E9E9E9"/>
            <w:tcMar>
              <w:top w:w="105" w:type="dxa"/>
              <w:left w:w="105" w:type="dxa"/>
              <w:bottom w:w="105" w:type="dxa"/>
              <w:right w:w="345" w:type="dxa"/>
            </w:tcMar>
            <w:hideMark/>
          </w:tcPr>
          <w:p w14:paraId="5F9A41A7" w14:textId="77777777" w:rsidR="00241E70" w:rsidRPr="00241E70" w:rsidRDefault="00241E70" w:rsidP="00241E70">
            <w:pPr>
              <w:spacing w:after="0" w:line="240" w:lineRule="auto"/>
              <w:rPr>
                <w:rFonts w:ascii="Tahoma" w:eastAsia="Times New Roman" w:hAnsi="Tahoma" w:cs="Tahoma"/>
                <w:b/>
                <w:bCs/>
                <w:color w:val="696969"/>
                <w:sz w:val="23"/>
                <w:szCs w:val="23"/>
              </w:rPr>
            </w:pPr>
            <w:r w:rsidRPr="00241E70">
              <w:rPr>
                <w:rFonts w:ascii="Tahoma" w:eastAsia="Times New Roman" w:hAnsi="Tahoma" w:cs="Tahoma"/>
                <w:b/>
                <w:bCs/>
                <w:color w:val="696969"/>
                <w:sz w:val="23"/>
                <w:szCs w:val="23"/>
              </w:rPr>
              <w:t>Description/Details/Targets</w:t>
            </w:r>
          </w:p>
        </w:tc>
      </w:tr>
      <w:tr w:rsidR="00241E70" w:rsidRPr="00241E70" w14:paraId="3F9E636E"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0ADA77C5"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b/>
                <w:bCs/>
                <w:sz w:val="23"/>
                <w:szCs w:val="23"/>
              </w:rPr>
              <w:t>Overall Firm</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A317277"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Financial</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6013E62"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EVA</w:t>
            </w:r>
          </w:p>
        </w:tc>
        <w:tc>
          <w:tcPr>
            <w:tcW w:w="0" w:type="auto"/>
            <w:tcBorders>
              <w:top w:val="nil"/>
              <w:left w:val="nil"/>
              <w:bottom w:val="nil"/>
              <w:right w:val="nil"/>
            </w:tcBorders>
            <w:shd w:val="clear" w:color="auto" w:fill="FFFFFF"/>
            <w:tcMar>
              <w:top w:w="105" w:type="dxa"/>
              <w:left w:w="105" w:type="dxa"/>
              <w:bottom w:w="105" w:type="dxa"/>
              <w:right w:w="75" w:type="dxa"/>
            </w:tcMar>
            <w:hideMark/>
          </w:tcPr>
          <w:p w14:paraId="08C318E3"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EVA equals net operating profit after taxes (NOPAT) less a charge for capital employed in the business (cost of capital).</w:t>
            </w:r>
          </w:p>
        </w:tc>
      </w:tr>
      <w:tr w:rsidR="00241E70" w:rsidRPr="00241E70" w14:paraId="2956EDBE"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A5937D2" w14:textId="77777777" w:rsidR="00241E70" w:rsidRPr="00241E70" w:rsidRDefault="00241E70" w:rsidP="00241E70">
            <w:pPr>
              <w:spacing w:after="0" w:line="240" w:lineRule="auto"/>
              <w:rPr>
                <w:rFonts w:ascii="Tahoma" w:eastAsia="Times New Roman" w:hAnsi="Tahoma" w:cs="Tahoma"/>
                <w:sz w:val="23"/>
                <w:szCs w:val="23"/>
              </w:rPr>
            </w:pP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BBF4A5C" w14:textId="77777777" w:rsidR="00241E70" w:rsidRPr="00241E70" w:rsidRDefault="00241E70" w:rsidP="00241E70">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44946172"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Growth</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0B6B2AD5"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Sales Growth of 2x GDP</w:t>
            </w:r>
          </w:p>
        </w:tc>
      </w:tr>
      <w:tr w:rsidR="00241E70" w:rsidRPr="00241E70" w14:paraId="0479E7AA"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06EB6CFD" w14:textId="77777777" w:rsidR="00241E70" w:rsidRPr="00241E70" w:rsidRDefault="00241E70" w:rsidP="00241E70">
            <w:pPr>
              <w:spacing w:after="0" w:line="240" w:lineRule="auto"/>
              <w:rPr>
                <w:rFonts w:ascii="Tahoma" w:eastAsia="Times New Roman" w:hAnsi="Tahoma" w:cs="Tahoma"/>
                <w:sz w:val="23"/>
                <w:szCs w:val="23"/>
              </w:rPr>
            </w:pP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0C0ED05" w14:textId="77777777" w:rsidR="00241E70" w:rsidRPr="00241E70" w:rsidRDefault="00241E70" w:rsidP="00241E70">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4519AC1"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ROCE (return on capital employed)</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9AAB1F5"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“Appropriate” ROCE (return on capital employed)</w:t>
            </w:r>
          </w:p>
        </w:tc>
      </w:tr>
      <w:tr w:rsidR="00241E70" w:rsidRPr="00241E70" w14:paraId="2E401297"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3B90833" w14:textId="77777777" w:rsidR="00241E70" w:rsidRPr="00241E70" w:rsidRDefault="00241E70" w:rsidP="00241E70">
            <w:pPr>
              <w:spacing w:after="0" w:line="240" w:lineRule="auto"/>
              <w:rPr>
                <w:rFonts w:ascii="Tahoma" w:eastAsia="Times New Roman" w:hAnsi="Tahoma" w:cs="Tahoma"/>
                <w:sz w:val="23"/>
                <w:szCs w:val="23"/>
              </w:rPr>
            </w:pP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C7C6324" w14:textId="77777777" w:rsidR="00241E70" w:rsidRPr="00241E70" w:rsidRDefault="00241E70" w:rsidP="00241E70">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4AF45B62"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CCR (cash conversion rate) revenue growth rate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1B628975"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CCR (cash conversion rate) of 1 minus the revenue growth rate</w:t>
            </w:r>
          </w:p>
        </w:tc>
      </w:tr>
      <w:tr w:rsidR="00241E70" w:rsidRPr="00241E70" w14:paraId="0ACE9C65"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B15F076" w14:textId="77777777" w:rsidR="00241E70" w:rsidRPr="00241E70" w:rsidRDefault="00241E70" w:rsidP="00241E70">
            <w:pPr>
              <w:spacing w:after="0" w:line="240" w:lineRule="auto"/>
              <w:rPr>
                <w:rFonts w:ascii="Tahoma" w:eastAsia="Times New Roman" w:hAnsi="Tahoma" w:cs="Tahoma"/>
                <w:sz w:val="23"/>
                <w:szCs w:val="23"/>
              </w:rPr>
            </w:pP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43B6D541" w14:textId="77777777" w:rsidR="00241E70" w:rsidRPr="00241E70" w:rsidRDefault="00241E70" w:rsidP="00241E70">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81FF827"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Adjusted industrial net debt to (adjusted) EBITDA</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D7FCC54"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Defined ratio of adjusted industrial net debt to (adjusted) EBITDA (see Outlook)</w:t>
            </w:r>
          </w:p>
        </w:tc>
      </w:tr>
      <w:tr w:rsidR="00241E70" w:rsidRPr="00241E70" w14:paraId="140266F9"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352750E"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b/>
                <w:bCs/>
                <w:sz w:val="23"/>
                <w:szCs w:val="23"/>
              </w:rPr>
              <w:t>Operating Groups</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D6173EC"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Financial</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1EA91CC6"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Margin ranges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58C18B1B"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Individual margin ranges for all operating groups</w:t>
            </w:r>
          </w:p>
        </w:tc>
      </w:tr>
      <w:tr w:rsidR="00241E70" w:rsidRPr="00241E70" w14:paraId="78B3332B"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B3521F8"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b/>
                <w:bCs/>
                <w:sz w:val="23"/>
                <w:szCs w:val="23"/>
              </w:rPr>
              <w:t>top</w:t>
            </w:r>
            <w:r w:rsidRPr="00241E70">
              <w:rPr>
                <w:rFonts w:ascii="Tahoma" w:eastAsia="Times New Roman" w:hAnsi="Tahoma" w:cs="Tahoma"/>
                <w:sz w:val="18"/>
                <w:szCs w:val="18"/>
                <w:vertAlign w:val="superscript"/>
              </w:rPr>
              <w:t>+</w:t>
            </w:r>
            <w:r w:rsidRPr="00241E70">
              <w:rPr>
                <w:rFonts w:ascii="Tahoma" w:eastAsia="Times New Roman" w:hAnsi="Tahoma" w:cs="Tahoma"/>
                <w:sz w:val="23"/>
                <w:szCs w:val="23"/>
              </w:rPr>
              <w:t> </w:t>
            </w:r>
            <w:r w:rsidRPr="00241E70">
              <w:rPr>
                <w:rFonts w:ascii="Tahoma" w:eastAsia="Times New Roman" w:hAnsi="Tahoma" w:cs="Tahoma"/>
                <w:i/>
                <w:iCs/>
                <w:sz w:val="23"/>
                <w:szCs w:val="23"/>
              </w:rPr>
              <w:t>Innovation</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0064F3D3"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Non-financial</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BEA9921"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Benchmarking</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20158AA"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Comparison of the products, services, processes and financials within an organization, in relation to “best of practice” in other similar organizations.</w:t>
            </w:r>
          </w:p>
        </w:tc>
      </w:tr>
      <w:tr w:rsidR="00241E70" w:rsidRPr="00241E70" w14:paraId="4FA7D9E4"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DBEE86B" w14:textId="77777777" w:rsidR="00241E70" w:rsidRPr="00241E70" w:rsidRDefault="00241E70" w:rsidP="00241E70">
            <w:pPr>
              <w:spacing w:after="0" w:line="240" w:lineRule="auto"/>
              <w:rPr>
                <w:rFonts w:ascii="Tahoma" w:eastAsia="Times New Roman" w:hAnsi="Tahoma" w:cs="Tahoma"/>
                <w:sz w:val="23"/>
                <w:szCs w:val="23"/>
              </w:rPr>
            </w:pP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FE704A5" w14:textId="77777777" w:rsidR="00241E70" w:rsidRPr="00241E70" w:rsidRDefault="00241E70" w:rsidP="00241E70">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CAA1B7D"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Lead customer feedback</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74ED5376"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Collection of feedback from key accounts concerning state and improvement of innovation</w:t>
            </w:r>
          </w:p>
        </w:tc>
      </w:tr>
      <w:tr w:rsidR="00241E70" w:rsidRPr="00241E70" w14:paraId="455C326B"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55EDBC3" w14:textId="77777777" w:rsidR="00241E70" w:rsidRPr="00241E70" w:rsidRDefault="00241E70" w:rsidP="00241E70">
            <w:pPr>
              <w:spacing w:after="0" w:line="240" w:lineRule="auto"/>
              <w:rPr>
                <w:rFonts w:ascii="Tahoma" w:eastAsia="Times New Roman" w:hAnsi="Tahoma" w:cs="Tahoma"/>
                <w:sz w:val="23"/>
                <w:szCs w:val="23"/>
              </w:rPr>
            </w:pP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321C32C" w14:textId="77777777" w:rsidR="00241E70" w:rsidRPr="00241E70" w:rsidRDefault="00241E70" w:rsidP="00241E70">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1494839"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“New Generation Business”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0364995D"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Identification and promotion of disruptive innovation topics of significant relevance to our future business</w:t>
            </w:r>
          </w:p>
        </w:tc>
      </w:tr>
      <w:tr w:rsidR="00241E70" w:rsidRPr="00241E70" w14:paraId="6CB54638"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D06FE18" w14:textId="77777777" w:rsidR="00241E70" w:rsidRPr="00241E70" w:rsidRDefault="00241E70" w:rsidP="00241E70">
            <w:pPr>
              <w:spacing w:after="0" w:line="240" w:lineRule="auto"/>
              <w:rPr>
                <w:rFonts w:ascii="Tahoma" w:eastAsia="Times New Roman" w:hAnsi="Tahoma" w:cs="Tahoma"/>
                <w:sz w:val="23"/>
                <w:szCs w:val="23"/>
              </w:rPr>
            </w:pP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104EED03" w14:textId="77777777" w:rsidR="00241E70" w:rsidRPr="00241E70" w:rsidRDefault="00241E70" w:rsidP="00241E70">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EE73D2B"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“Siemens Top Innovators”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822737C"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Development and expansion of network of top innovators, and intensively applying their experience throughout Siemens</w:t>
            </w:r>
          </w:p>
        </w:tc>
      </w:tr>
      <w:tr w:rsidR="00241E70" w:rsidRPr="00241E70" w14:paraId="00C993F2"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0153BAF3" w14:textId="77777777" w:rsidR="00241E70" w:rsidRPr="00241E70" w:rsidRDefault="00241E70" w:rsidP="00241E70">
            <w:pPr>
              <w:spacing w:after="0" w:line="240" w:lineRule="auto"/>
              <w:rPr>
                <w:rFonts w:ascii="Tahoma" w:eastAsia="Times New Roman" w:hAnsi="Tahoma" w:cs="Tahoma"/>
                <w:sz w:val="23"/>
                <w:szCs w:val="23"/>
              </w:rPr>
            </w:pP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04379F46" w14:textId="77777777" w:rsidR="00241E70" w:rsidRPr="00241E70" w:rsidRDefault="00241E70" w:rsidP="00241E70">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4E5ED3C"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“Innovator Image”</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63CB13F5"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Expansion of the corporate image as a leader in innovation</w:t>
            </w:r>
          </w:p>
        </w:tc>
      </w:tr>
      <w:tr w:rsidR="00241E70" w:rsidRPr="00241E70" w14:paraId="4E93D33C"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03D5AA5"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b/>
                <w:bCs/>
                <w:sz w:val="23"/>
                <w:szCs w:val="23"/>
              </w:rPr>
              <w:t>top</w:t>
            </w:r>
            <w:r w:rsidRPr="00241E70">
              <w:rPr>
                <w:rFonts w:ascii="Tahoma" w:eastAsia="Times New Roman" w:hAnsi="Tahoma" w:cs="Tahoma"/>
                <w:sz w:val="18"/>
                <w:szCs w:val="18"/>
                <w:vertAlign w:val="superscript"/>
              </w:rPr>
              <w:t>+</w:t>
            </w:r>
            <w:r w:rsidRPr="00241E70">
              <w:rPr>
                <w:rFonts w:ascii="Tahoma" w:eastAsia="Times New Roman" w:hAnsi="Tahoma" w:cs="Tahoma"/>
                <w:sz w:val="23"/>
                <w:szCs w:val="23"/>
              </w:rPr>
              <w:t> </w:t>
            </w:r>
            <w:r w:rsidRPr="00241E70">
              <w:rPr>
                <w:rFonts w:ascii="Tahoma" w:eastAsia="Times New Roman" w:hAnsi="Tahoma" w:cs="Tahoma"/>
                <w:i/>
                <w:iCs/>
                <w:sz w:val="23"/>
                <w:szCs w:val="23"/>
              </w:rPr>
              <w:t>Customer Focus</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CCB3A77"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Non-financial</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B8EDA51"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Market transparency</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325A55A1"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Involves setting goals on what percentage of the overall market must be secured in terms of individual customers and specific projects</w:t>
            </w:r>
          </w:p>
        </w:tc>
      </w:tr>
      <w:tr w:rsidR="00241E70" w:rsidRPr="00241E70" w14:paraId="0D4377E1"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81B8528" w14:textId="77777777" w:rsidR="00241E70" w:rsidRPr="00241E70" w:rsidRDefault="00241E70" w:rsidP="00241E70">
            <w:pPr>
              <w:spacing w:after="0" w:line="240" w:lineRule="auto"/>
              <w:rPr>
                <w:rFonts w:ascii="Tahoma" w:eastAsia="Times New Roman" w:hAnsi="Tahoma" w:cs="Tahoma"/>
                <w:sz w:val="23"/>
                <w:szCs w:val="23"/>
              </w:rPr>
            </w:pP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2D019A2" w14:textId="77777777" w:rsidR="00241E70" w:rsidRPr="00241E70" w:rsidRDefault="00241E70" w:rsidP="00241E70">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4744E58"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Customer relationship management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6CEE4E6C"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 xml:space="preserve">Systematically collecting and making available sales information from a central source; firm-wide introduction of the “Net promoter score” (a key indicator to measure the willingness of customers to </w:t>
            </w:r>
            <w:r w:rsidRPr="00241E70">
              <w:rPr>
                <w:rFonts w:ascii="Tahoma" w:eastAsia="Times New Roman" w:hAnsi="Tahoma" w:cs="Tahoma"/>
                <w:sz w:val="23"/>
                <w:szCs w:val="23"/>
              </w:rPr>
              <w:lastRenderedPageBreak/>
              <w:t>recommend our products and services)</w:t>
            </w:r>
          </w:p>
        </w:tc>
      </w:tr>
      <w:tr w:rsidR="00241E70" w:rsidRPr="00241E70" w14:paraId="167DF226"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05AA2EA"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b/>
                <w:bCs/>
                <w:sz w:val="23"/>
                <w:szCs w:val="23"/>
              </w:rPr>
              <w:lastRenderedPageBreak/>
              <w:t>top</w:t>
            </w:r>
            <w:r w:rsidRPr="00241E70">
              <w:rPr>
                <w:rFonts w:ascii="Tahoma" w:eastAsia="Times New Roman" w:hAnsi="Tahoma" w:cs="Tahoma"/>
                <w:sz w:val="18"/>
                <w:szCs w:val="18"/>
                <w:vertAlign w:val="superscript"/>
              </w:rPr>
              <w:t>+</w:t>
            </w:r>
            <w:r w:rsidRPr="00241E70">
              <w:rPr>
                <w:rFonts w:ascii="Tahoma" w:eastAsia="Times New Roman" w:hAnsi="Tahoma" w:cs="Tahoma"/>
                <w:sz w:val="23"/>
                <w:szCs w:val="23"/>
              </w:rPr>
              <w:t> </w:t>
            </w:r>
            <w:r w:rsidRPr="00241E70">
              <w:rPr>
                <w:rFonts w:ascii="Tahoma" w:eastAsia="Times New Roman" w:hAnsi="Tahoma" w:cs="Tahoma"/>
                <w:i/>
                <w:iCs/>
                <w:sz w:val="23"/>
                <w:szCs w:val="23"/>
              </w:rPr>
              <w:t>Global Competitiveness</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028E357"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Non-financial</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1BA67605"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Lean production system</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5C0A697E"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Developing lean production system, accelerating its expansion through the reference configuration of a “Siemens Production System (SPS)”</w:t>
            </w:r>
          </w:p>
        </w:tc>
      </w:tr>
    </w:tbl>
    <w:p w14:paraId="78BF5A71" w14:textId="77777777" w:rsidR="00241E70" w:rsidRPr="00241E70" w:rsidRDefault="00241E70" w:rsidP="00241E70">
      <w:pPr>
        <w:shd w:val="clear" w:color="auto" w:fill="FFFFFF"/>
        <w:spacing w:after="0" w:line="240" w:lineRule="auto"/>
        <w:rPr>
          <w:rFonts w:ascii="Cambria" w:eastAsia="Times New Roman" w:hAnsi="Cambria" w:cs="Times New Roman"/>
          <w:color w:val="575757"/>
          <w:sz w:val="27"/>
          <w:szCs w:val="27"/>
        </w:rPr>
      </w:pPr>
      <w:r w:rsidRPr="00241E70">
        <w:rPr>
          <w:rFonts w:ascii="Cambria" w:eastAsia="Times New Roman" w:hAnsi="Cambria" w:cs="Times New Roman"/>
          <w:noProof/>
          <w:color w:val="575757"/>
          <w:sz w:val="27"/>
          <w:szCs w:val="27"/>
        </w:rPr>
        <w:drawing>
          <wp:inline distT="0" distB="0" distL="0" distR="0" wp14:anchorId="4FA8FF88" wp14:editId="215FF45A">
            <wp:extent cx="198120" cy="198120"/>
            <wp:effectExtent l="0" t="0" r="0" b="0"/>
            <wp:docPr id="51" name="Picture 51" descr="Enlar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Enlarge Tab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p>
    <w:p w14:paraId="5FFD9B8F" w14:textId="77777777" w:rsidR="00241E70" w:rsidRPr="00241E70" w:rsidRDefault="00241E70" w:rsidP="00241E70">
      <w:pPr>
        <w:shd w:val="clear" w:color="auto" w:fill="FFFFFF"/>
        <w:spacing w:line="240" w:lineRule="auto"/>
        <w:rPr>
          <w:rFonts w:ascii="Cambria" w:eastAsia="Times New Roman" w:hAnsi="Cambria" w:cs="Times New Roman"/>
          <w:color w:val="575757"/>
          <w:sz w:val="27"/>
          <w:szCs w:val="27"/>
        </w:rPr>
      </w:pPr>
      <w:r w:rsidRPr="00241E70">
        <w:rPr>
          <w:rFonts w:ascii="Tahoma" w:eastAsia="Times New Roman" w:hAnsi="Tahoma" w:cs="Tahoma"/>
          <w:color w:val="575757"/>
        </w:rPr>
        <w:t>Source: Siemens Annual Report 2007: 160, 194–197; descriptions partly from Siemens Annual Report 2001.</w:t>
      </w:r>
    </w:p>
    <w:p w14:paraId="1F459631" w14:textId="77777777" w:rsidR="00241E70" w:rsidRPr="00241E70" w:rsidRDefault="00241E70" w:rsidP="00241E70">
      <w:pPr>
        <w:shd w:val="clear" w:color="auto" w:fill="FFFFFF"/>
        <w:spacing w:after="225" w:line="240" w:lineRule="auto"/>
        <w:ind w:left="975" w:right="975"/>
        <w:rPr>
          <w:rFonts w:ascii="Cambria" w:eastAsia="Times New Roman" w:hAnsi="Cambria" w:cs="Times New Roman"/>
          <w:color w:val="575757"/>
          <w:sz w:val="27"/>
          <w:szCs w:val="27"/>
        </w:rPr>
      </w:pPr>
      <w:r w:rsidRPr="00241E70">
        <w:rPr>
          <w:rFonts w:ascii="Cambria" w:eastAsia="Times New Roman" w:hAnsi="Cambria" w:cs="Times New Roman"/>
          <w:color w:val="575757"/>
          <w:sz w:val="27"/>
          <w:szCs w:val="27"/>
        </w:rPr>
        <w:t>Overall, the performance impact of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appeared to be very significant. During the period of investigation from 1998 to 2007, Siemens was able to increase sales by 28.7 percent, earnings by 197.3 percent and market capitalization by 213.9 percent (see </w:t>
      </w:r>
      <w:hyperlink r:id="rId15" w:history="1">
        <w:r w:rsidRPr="00241E70">
          <w:rPr>
            <w:rFonts w:ascii="Cambria" w:eastAsia="Times New Roman" w:hAnsi="Cambria" w:cs="Times New Roman"/>
            <w:color w:val="007DB8"/>
            <w:sz w:val="27"/>
            <w:szCs w:val="27"/>
            <w:u w:val="single"/>
          </w:rPr>
          <w:t>Exhibit 8</w:t>
        </w:r>
      </w:hyperlink>
      <w:r w:rsidRPr="00241E70">
        <w:rPr>
          <w:rFonts w:ascii="Cambria" w:eastAsia="Times New Roman" w:hAnsi="Cambria" w:cs="Times New Roman"/>
          <w:color w:val="575757"/>
          <w:sz w:val="27"/>
          <w:szCs w:val="27"/>
        </w:rPr>
        <w:t>). A project manager of SMC, for example, noted:</w:t>
      </w:r>
    </w:p>
    <w:p w14:paraId="4B9F9617" w14:textId="77777777" w:rsidR="00241E70" w:rsidRPr="00241E70" w:rsidRDefault="00241E70" w:rsidP="00241E70">
      <w:pPr>
        <w:shd w:val="clear" w:color="auto" w:fill="F1F1F1"/>
        <w:spacing w:line="240" w:lineRule="auto"/>
        <w:rPr>
          <w:rFonts w:ascii="Cambria" w:eastAsia="Times New Roman" w:hAnsi="Cambria" w:cs="Times New Roman"/>
          <w:i/>
          <w:iCs/>
          <w:color w:val="575757"/>
          <w:sz w:val="27"/>
          <w:szCs w:val="27"/>
        </w:rPr>
      </w:pPr>
      <w:r w:rsidRPr="00241E70">
        <w:rPr>
          <w:rFonts w:ascii="Cambria" w:eastAsia="Times New Roman" w:hAnsi="Cambria" w:cs="Times New Roman"/>
          <w:i/>
          <w:iCs/>
          <w:color w:val="575757"/>
          <w:sz w:val="27"/>
          <w:szCs w:val="27"/>
        </w:rPr>
        <w:t>“From my perspective, top+ is the major reason why Siemens AG as a diversified entity with different unrelated businesses makes sense and exists to date. top+ is the primary lever of corporate-level value creation and to achieve the goal of an integrated technology company.”</w:t>
      </w:r>
      <w:r w:rsidRPr="00241E70">
        <w:rPr>
          <w:rFonts w:ascii="Cambria" w:eastAsia="Times New Roman" w:hAnsi="Cambria" w:cs="Times New Roman"/>
          <w:i/>
          <w:iCs/>
          <w:noProof/>
          <w:color w:val="007DB8"/>
          <w:sz w:val="27"/>
          <w:szCs w:val="27"/>
        </w:rPr>
        <w:drawing>
          <wp:inline distT="0" distB="0" distL="0" distR="0" wp14:anchorId="792DE267" wp14:editId="70539515">
            <wp:extent cx="120650" cy="120650"/>
            <wp:effectExtent l="0" t="0" r="0" b="0"/>
            <wp:docPr id="52" name="Picture 52" descr="https://ng.cengage.com/static/nbapps/glossary/images/footstar.png">
              <a:hlinkClick xmlns:a="http://schemas.openxmlformats.org/drawingml/2006/main" r:id="rId10"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ng.cengage.com/static/nbapps/glossary/images/footstar.png">
                      <a:hlinkClick r:id="rId4"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444DC45A" w14:textId="77777777" w:rsidR="00241E70" w:rsidRPr="00241E70" w:rsidRDefault="00241E70" w:rsidP="00241E70">
      <w:pPr>
        <w:spacing w:after="0" w:line="240" w:lineRule="auto"/>
        <w:rPr>
          <w:rFonts w:ascii="Cambria" w:eastAsia="Times New Roman" w:hAnsi="Cambria" w:cs="Times New Roman"/>
          <w:color w:val="575757"/>
          <w:sz w:val="27"/>
          <w:szCs w:val="27"/>
        </w:rPr>
      </w:pPr>
      <w:r w:rsidRPr="00241E70">
        <w:rPr>
          <w:rFonts w:ascii="Tahoma" w:eastAsia="Times New Roman" w:hAnsi="Tahoma" w:cs="Tahoma"/>
          <w:color w:val="575757"/>
          <w:sz w:val="30"/>
          <w:szCs w:val="30"/>
          <w:shd w:val="clear" w:color="auto" w:fill="80B33D"/>
        </w:rPr>
        <w:t>Exhibit 8</w:t>
      </w:r>
    </w:p>
    <w:p w14:paraId="76727BEC" w14:textId="77777777" w:rsidR="00241E70" w:rsidRPr="00241E70" w:rsidRDefault="00241E70" w:rsidP="00241E70">
      <w:pPr>
        <w:spacing w:line="240" w:lineRule="auto"/>
        <w:ind w:left="375"/>
        <w:outlineLvl w:val="2"/>
        <w:rPr>
          <w:rFonts w:ascii="Tahoma" w:eastAsia="Times New Roman" w:hAnsi="Tahoma" w:cs="Tahoma"/>
          <w:b/>
          <w:bCs/>
          <w:color w:val="575757"/>
          <w:sz w:val="30"/>
          <w:szCs w:val="30"/>
        </w:rPr>
      </w:pPr>
      <w:r w:rsidRPr="00241E70">
        <w:rPr>
          <w:rFonts w:ascii="Tahoma" w:eastAsia="Times New Roman" w:hAnsi="Tahoma" w:cs="Tahoma"/>
          <w:b/>
          <w:bCs/>
          <w:color w:val="575757"/>
          <w:sz w:val="30"/>
          <w:szCs w:val="30"/>
        </w:rPr>
        <w:t>Selected Siemens Financial Data 1998–2007</w:t>
      </w:r>
    </w:p>
    <w:tbl>
      <w:tblPr>
        <w:tblW w:w="18405"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4836"/>
        <w:gridCol w:w="1234"/>
        <w:gridCol w:w="1215"/>
        <w:gridCol w:w="1215"/>
        <w:gridCol w:w="1215"/>
        <w:gridCol w:w="1215"/>
        <w:gridCol w:w="1215"/>
        <w:gridCol w:w="1215"/>
        <w:gridCol w:w="1215"/>
        <w:gridCol w:w="1215"/>
        <w:gridCol w:w="1215"/>
        <w:gridCol w:w="1400"/>
      </w:tblGrid>
      <w:tr w:rsidR="00241E70" w:rsidRPr="00241E70" w14:paraId="08B4F3FB" w14:textId="77777777" w:rsidTr="00241E70">
        <w:trPr>
          <w:tblHeader/>
        </w:trPr>
        <w:tc>
          <w:tcPr>
            <w:tcW w:w="0" w:type="auto"/>
            <w:tcBorders>
              <w:top w:val="nil"/>
              <w:left w:val="nil"/>
              <w:bottom w:val="nil"/>
              <w:right w:val="single" w:sz="6" w:space="0" w:color="000000"/>
            </w:tcBorders>
            <w:shd w:val="clear" w:color="auto" w:fill="E9E9E9"/>
            <w:tcMar>
              <w:top w:w="105" w:type="dxa"/>
              <w:left w:w="105" w:type="dxa"/>
              <w:bottom w:w="105" w:type="dxa"/>
              <w:right w:w="105" w:type="dxa"/>
            </w:tcMar>
            <w:hideMark/>
          </w:tcPr>
          <w:p w14:paraId="2108F4AA" w14:textId="77777777" w:rsidR="00241E70" w:rsidRPr="00241E70" w:rsidRDefault="00241E70" w:rsidP="00241E70">
            <w:pPr>
              <w:spacing w:after="0" w:line="240" w:lineRule="auto"/>
              <w:rPr>
                <w:rFonts w:ascii="Tahoma" w:eastAsia="Times New Roman" w:hAnsi="Tahoma" w:cs="Tahoma"/>
                <w:b/>
                <w:bCs/>
                <w:color w:val="696969"/>
                <w:sz w:val="23"/>
                <w:szCs w:val="23"/>
              </w:rPr>
            </w:pPr>
            <w:r w:rsidRPr="00241E70">
              <w:rPr>
                <w:rFonts w:ascii="Tahoma" w:eastAsia="Times New Roman" w:hAnsi="Tahoma" w:cs="Tahoma"/>
                <w:b/>
                <w:bCs/>
                <w:i/>
                <w:iCs/>
                <w:color w:val="696969"/>
                <w:sz w:val="23"/>
                <w:szCs w:val="23"/>
              </w:rPr>
              <w:t>In EUR million</w:t>
            </w:r>
          </w:p>
        </w:tc>
        <w:tc>
          <w:tcPr>
            <w:tcW w:w="0" w:type="auto"/>
            <w:tcBorders>
              <w:top w:val="nil"/>
              <w:left w:val="nil"/>
              <w:bottom w:val="nil"/>
              <w:right w:val="single" w:sz="6" w:space="0" w:color="000000"/>
            </w:tcBorders>
            <w:shd w:val="clear" w:color="auto" w:fill="E9E9E9"/>
            <w:tcMar>
              <w:top w:w="105" w:type="dxa"/>
              <w:left w:w="105" w:type="dxa"/>
              <w:bottom w:w="105" w:type="dxa"/>
              <w:right w:w="105" w:type="dxa"/>
            </w:tcMar>
            <w:hideMark/>
          </w:tcPr>
          <w:p w14:paraId="6F9ECED5" w14:textId="77777777" w:rsidR="00241E70" w:rsidRPr="00241E70" w:rsidRDefault="00241E70" w:rsidP="00241E70">
            <w:pPr>
              <w:spacing w:after="0" w:line="240" w:lineRule="auto"/>
              <w:jc w:val="right"/>
              <w:rPr>
                <w:rFonts w:ascii="Tahoma" w:eastAsia="Times New Roman" w:hAnsi="Tahoma" w:cs="Tahoma"/>
                <w:b/>
                <w:bCs/>
                <w:color w:val="696969"/>
                <w:sz w:val="23"/>
                <w:szCs w:val="23"/>
              </w:rPr>
            </w:pPr>
            <w:r w:rsidRPr="00241E70">
              <w:rPr>
                <w:rFonts w:ascii="Tahoma" w:eastAsia="Times New Roman" w:hAnsi="Tahoma" w:cs="Tahoma"/>
                <w:b/>
                <w:bCs/>
                <w:color w:val="696969"/>
                <w:sz w:val="23"/>
                <w:szCs w:val="23"/>
              </w:rPr>
              <w:t>CAGR</w:t>
            </w:r>
          </w:p>
        </w:tc>
        <w:tc>
          <w:tcPr>
            <w:tcW w:w="0" w:type="auto"/>
            <w:tcBorders>
              <w:top w:val="nil"/>
              <w:left w:val="nil"/>
              <w:bottom w:val="nil"/>
              <w:right w:val="single" w:sz="6" w:space="0" w:color="000000"/>
            </w:tcBorders>
            <w:shd w:val="clear" w:color="auto" w:fill="E9E9E9"/>
            <w:tcMar>
              <w:top w:w="105" w:type="dxa"/>
              <w:left w:w="105" w:type="dxa"/>
              <w:bottom w:w="105" w:type="dxa"/>
              <w:right w:w="105" w:type="dxa"/>
            </w:tcMar>
            <w:hideMark/>
          </w:tcPr>
          <w:p w14:paraId="3A71C09C" w14:textId="77777777" w:rsidR="00241E70" w:rsidRPr="00241E70" w:rsidRDefault="00241E70" w:rsidP="00241E70">
            <w:pPr>
              <w:spacing w:after="0" w:line="240" w:lineRule="auto"/>
              <w:jc w:val="right"/>
              <w:rPr>
                <w:rFonts w:ascii="Tahoma" w:eastAsia="Times New Roman" w:hAnsi="Tahoma" w:cs="Tahoma"/>
                <w:b/>
                <w:bCs/>
                <w:color w:val="696969"/>
                <w:sz w:val="23"/>
                <w:szCs w:val="23"/>
              </w:rPr>
            </w:pPr>
            <w:r w:rsidRPr="00241E70">
              <w:rPr>
                <w:rFonts w:ascii="Tahoma" w:eastAsia="Times New Roman" w:hAnsi="Tahoma" w:cs="Tahoma"/>
                <w:b/>
                <w:bCs/>
                <w:color w:val="696969"/>
                <w:sz w:val="23"/>
                <w:szCs w:val="23"/>
              </w:rPr>
              <w:t>Y2007</w:t>
            </w:r>
          </w:p>
        </w:tc>
        <w:tc>
          <w:tcPr>
            <w:tcW w:w="0" w:type="auto"/>
            <w:tcBorders>
              <w:top w:val="nil"/>
              <w:left w:val="nil"/>
              <w:bottom w:val="nil"/>
              <w:right w:val="single" w:sz="6" w:space="0" w:color="000000"/>
            </w:tcBorders>
            <w:shd w:val="clear" w:color="auto" w:fill="E9E9E9"/>
            <w:tcMar>
              <w:top w:w="105" w:type="dxa"/>
              <w:left w:w="105" w:type="dxa"/>
              <w:bottom w:w="105" w:type="dxa"/>
              <w:right w:w="105" w:type="dxa"/>
            </w:tcMar>
            <w:hideMark/>
          </w:tcPr>
          <w:p w14:paraId="38F6E4A2" w14:textId="77777777" w:rsidR="00241E70" w:rsidRPr="00241E70" w:rsidRDefault="00241E70" w:rsidP="00241E70">
            <w:pPr>
              <w:spacing w:after="0" w:line="240" w:lineRule="auto"/>
              <w:jc w:val="right"/>
              <w:rPr>
                <w:rFonts w:ascii="Tahoma" w:eastAsia="Times New Roman" w:hAnsi="Tahoma" w:cs="Tahoma"/>
                <w:b/>
                <w:bCs/>
                <w:color w:val="696969"/>
                <w:sz w:val="23"/>
                <w:szCs w:val="23"/>
              </w:rPr>
            </w:pPr>
            <w:r w:rsidRPr="00241E70">
              <w:rPr>
                <w:rFonts w:ascii="Tahoma" w:eastAsia="Times New Roman" w:hAnsi="Tahoma" w:cs="Tahoma"/>
                <w:b/>
                <w:bCs/>
                <w:color w:val="696969"/>
                <w:sz w:val="23"/>
                <w:szCs w:val="23"/>
              </w:rPr>
              <w:t>Y2006</w:t>
            </w:r>
          </w:p>
        </w:tc>
        <w:tc>
          <w:tcPr>
            <w:tcW w:w="0" w:type="auto"/>
            <w:tcBorders>
              <w:top w:val="nil"/>
              <w:left w:val="nil"/>
              <w:bottom w:val="nil"/>
              <w:right w:val="single" w:sz="6" w:space="0" w:color="000000"/>
            </w:tcBorders>
            <w:shd w:val="clear" w:color="auto" w:fill="E9E9E9"/>
            <w:tcMar>
              <w:top w:w="105" w:type="dxa"/>
              <w:left w:w="105" w:type="dxa"/>
              <w:bottom w:w="105" w:type="dxa"/>
              <w:right w:w="105" w:type="dxa"/>
            </w:tcMar>
            <w:hideMark/>
          </w:tcPr>
          <w:p w14:paraId="72ADEB06" w14:textId="77777777" w:rsidR="00241E70" w:rsidRPr="00241E70" w:rsidRDefault="00241E70" w:rsidP="00241E70">
            <w:pPr>
              <w:spacing w:after="0" w:line="240" w:lineRule="auto"/>
              <w:jc w:val="right"/>
              <w:rPr>
                <w:rFonts w:ascii="Tahoma" w:eastAsia="Times New Roman" w:hAnsi="Tahoma" w:cs="Tahoma"/>
                <w:b/>
                <w:bCs/>
                <w:color w:val="696969"/>
                <w:sz w:val="23"/>
                <w:szCs w:val="23"/>
              </w:rPr>
            </w:pPr>
            <w:r w:rsidRPr="00241E70">
              <w:rPr>
                <w:rFonts w:ascii="Tahoma" w:eastAsia="Times New Roman" w:hAnsi="Tahoma" w:cs="Tahoma"/>
                <w:b/>
                <w:bCs/>
                <w:color w:val="696969"/>
                <w:sz w:val="23"/>
                <w:szCs w:val="23"/>
              </w:rPr>
              <w:t>Y2005</w:t>
            </w:r>
          </w:p>
        </w:tc>
        <w:tc>
          <w:tcPr>
            <w:tcW w:w="0" w:type="auto"/>
            <w:tcBorders>
              <w:top w:val="nil"/>
              <w:left w:val="nil"/>
              <w:bottom w:val="nil"/>
              <w:right w:val="single" w:sz="6" w:space="0" w:color="000000"/>
            </w:tcBorders>
            <w:shd w:val="clear" w:color="auto" w:fill="E9E9E9"/>
            <w:tcMar>
              <w:top w:w="105" w:type="dxa"/>
              <w:left w:w="105" w:type="dxa"/>
              <w:bottom w:w="105" w:type="dxa"/>
              <w:right w:w="105" w:type="dxa"/>
            </w:tcMar>
            <w:hideMark/>
          </w:tcPr>
          <w:p w14:paraId="151E2CA9" w14:textId="77777777" w:rsidR="00241E70" w:rsidRPr="00241E70" w:rsidRDefault="00241E70" w:rsidP="00241E70">
            <w:pPr>
              <w:spacing w:after="0" w:line="240" w:lineRule="auto"/>
              <w:jc w:val="right"/>
              <w:rPr>
                <w:rFonts w:ascii="Tahoma" w:eastAsia="Times New Roman" w:hAnsi="Tahoma" w:cs="Tahoma"/>
                <w:b/>
                <w:bCs/>
                <w:color w:val="696969"/>
                <w:sz w:val="23"/>
                <w:szCs w:val="23"/>
              </w:rPr>
            </w:pPr>
            <w:r w:rsidRPr="00241E70">
              <w:rPr>
                <w:rFonts w:ascii="Tahoma" w:eastAsia="Times New Roman" w:hAnsi="Tahoma" w:cs="Tahoma"/>
                <w:b/>
                <w:bCs/>
                <w:color w:val="696969"/>
                <w:sz w:val="23"/>
                <w:szCs w:val="23"/>
              </w:rPr>
              <w:t>Y2004</w:t>
            </w:r>
          </w:p>
        </w:tc>
        <w:tc>
          <w:tcPr>
            <w:tcW w:w="0" w:type="auto"/>
            <w:tcBorders>
              <w:top w:val="nil"/>
              <w:left w:val="nil"/>
              <w:bottom w:val="nil"/>
              <w:right w:val="single" w:sz="6" w:space="0" w:color="000000"/>
            </w:tcBorders>
            <w:shd w:val="clear" w:color="auto" w:fill="E9E9E9"/>
            <w:tcMar>
              <w:top w:w="105" w:type="dxa"/>
              <w:left w:w="105" w:type="dxa"/>
              <w:bottom w:w="105" w:type="dxa"/>
              <w:right w:w="105" w:type="dxa"/>
            </w:tcMar>
            <w:hideMark/>
          </w:tcPr>
          <w:p w14:paraId="41A3FD07" w14:textId="77777777" w:rsidR="00241E70" w:rsidRPr="00241E70" w:rsidRDefault="00241E70" w:rsidP="00241E70">
            <w:pPr>
              <w:spacing w:after="0" w:line="240" w:lineRule="auto"/>
              <w:jc w:val="right"/>
              <w:rPr>
                <w:rFonts w:ascii="Tahoma" w:eastAsia="Times New Roman" w:hAnsi="Tahoma" w:cs="Tahoma"/>
                <w:b/>
                <w:bCs/>
                <w:color w:val="696969"/>
                <w:sz w:val="23"/>
                <w:szCs w:val="23"/>
              </w:rPr>
            </w:pPr>
            <w:r w:rsidRPr="00241E70">
              <w:rPr>
                <w:rFonts w:ascii="Tahoma" w:eastAsia="Times New Roman" w:hAnsi="Tahoma" w:cs="Tahoma"/>
                <w:b/>
                <w:bCs/>
                <w:color w:val="696969"/>
                <w:sz w:val="23"/>
                <w:szCs w:val="23"/>
              </w:rPr>
              <w:t>Y2003</w:t>
            </w:r>
          </w:p>
        </w:tc>
        <w:tc>
          <w:tcPr>
            <w:tcW w:w="0" w:type="auto"/>
            <w:tcBorders>
              <w:top w:val="nil"/>
              <w:left w:val="nil"/>
              <w:bottom w:val="nil"/>
              <w:right w:val="single" w:sz="6" w:space="0" w:color="000000"/>
            </w:tcBorders>
            <w:shd w:val="clear" w:color="auto" w:fill="E9E9E9"/>
            <w:tcMar>
              <w:top w:w="105" w:type="dxa"/>
              <w:left w:w="105" w:type="dxa"/>
              <w:bottom w:w="105" w:type="dxa"/>
              <w:right w:w="105" w:type="dxa"/>
            </w:tcMar>
            <w:hideMark/>
          </w:tcPr>
          <w:p w14:paraId="4B2EC0C5" w14:textId="77777777" w:rsidR="00241E70" w:rsidRPr="00241E70" w:rsidRDefault="00241E70" w:rsidP="00241E70">
            <w:pPr>
              <w:spacing w:after="0" w:line="240" w:lineRule="auto"/>
              <w:jc w:val="right"/>
              <w:rPr>
                <w:rFonts w:ascii="Tahoma" w:eastAsia="Times New Roman" w:hAnsi="Tahoma" w:cs="Tahoma"/>
                <w:b/>
                <w:bCs/>
                <w:color w:val="696969"/>
                <w:sz w:val="23"/>
                <w:szCs w:val="23"/>
              </w:rPr>
            </w:pPr>
            <w:r w:rsidRPr="00241E70">
              <w:rPr>
                <w:rFonts w:ascii="Tahoma" w:eastAsia="Times New Roman" w:hAnsi="Tahoma" w:cs="Tahoma"/>
                <w:b/>
                <w:bCs/>
                <w:color w:val="696969"/>
                <w:sz w:val="23"/>
                <w:szCs w:val="23"/>
              </w:rPr>
              <w:t>Y2002</w:t>
            </w:r>
          </w:p>
        </w:tc>
        <w:tc>
          <w:tcPr>
            <w:tcW w:w="0" w:type="auto"/>
            <w:tcBorders>
              <w:top w:val="nil"/>
              <w:left w:val="nil"/>
              <w:bottom w:val="nil"/>
              <w:right w:val="single" w:sz="6" w:space="0" w:color="000000"/>
            </w:tcBorders>
            <w:shd w:val="clear" w:color="auto" w:fill="E9E9E9"/>
            <w:tcMar>
              <w:top w:w="105" w:type="dxa"/>
              <w:left w:w="105" w:type="dxa"/>
              <w:bottom w:w="105" w:type="dxa"/>
              <w:right w:w="105" w:type="dxa"/>
            </w:tcMar>
            <w:hideMark/>
          </w:tcPr>
          <w:p w14:paraId="5BA62D7E" w14:textId="77777777" w:rsidR="00241E70" w:rsidRPr="00241E70" w:rsidRDefault="00241E70" w:rsidP="00241E70">
            <w:pPr>
              <w:spacing w:after="0" w:line="240" w:lineRule="auto"/>
              <w:jc w:val="right"/>
              <w:rPr>
                <w:rFonts w:ascii="Tahoma" w:eastAsia="Times New Roman" w:hAnsi="Tahoma" w:cs="Tahoma"/>
                <w:b/>
                <w:bCs/>
                <w:color w:val="696969"/>
                <w:sz w:val="23"/>
                <w:szCs w:val="23"/>
              </w:rPr>
            </w:pPr>
            <w:r w:rsidRPr="00241E70">
              <w:rPr>
                <w:rFonts w:ascii="Tahoma" w:eastAsia="Times New Roman" w:hAnsi="Tahoma" w:cs="Tahoma"/>
                <w:b/>
                <w:bCs/>
                <w:color w:val="696969"/>
                <w:sz w:val="23"/>
                <w:szCs w:val="23"/>
              </w:rPr>
              <w:t>Y2001</w:t>
            </w:r>
          </w:p>
        </w:tc>
        <w:tc>
          <w:tcPr>
            <w:tcW w:w="0" w:type="auto"/>
            <w:tcBorders>
              <w:top w:val="nil"/>
              <w:left w:val="nil"/>
              <w:bottom w:val="nil"/>
              <w:right w:val="single" w:sz="6" w:space="0" w:color="000000"/>
            </w:tcBorders>
            <w:shd w:val="clear" w:color="auto" w:fill="E9E9E9"/>
            <w:tcMar>
              <w:top w:w="105" w:type="dxa"/>
              <w:left w:w="105" w:type="dxa"/>
              <w:bottom w:w="105" w:type="dxa"/>
              <w:right w:w="105" w:type="dxa"/>
            </w:tcMar>
            <w:hideMark/>
          </w:tcPr>
          <w:p w14:paraId="112C1225" w14:textId="77777777" w:rsidR="00241E70" w:rsidRPr="00241E70" w:rsidRDefault="00241E70" w:rsidP="00241E70">
            <w:pPr>
              <w:spacing w:after="0" w:line="240" w:lineRule="auto"/>
              <w:jc w:val="right"/>
              <w:rPr>
                <w:rFonts w:ascii="Tahoma" w:eastAsia="Times New Roman" w:hAnsi="Tahoma" w:cs="Tahoma"/>
                <w:b/>
                <w:bCs/>
                <w:color w:val="696969"/>
                <w:sz w:val="23"/>
                <w:szCs w:val="23"/>
              </w:rPr>
            </w:pPr>
            <w:r w:rsidRPr="00241E70">
              <w:rPr>
                <w:rFonts w:ascii="Tahoma" w:eastAsia="Times New Roman" w:hAnsi="Tahoma" w:cs="Tahoma"/>
                <w:b/>
                <w:bCs/>
                <w:color w:val="696969"/>
                <w:sz w:val="23"/>
                <w:szCs w:val="23"/>
              </w:rPr>
              <w:t>Y2000</w:t>
            </w:r>
          </w:p>
        </w:tc>
        <w:tc>
          <w:tcPr>
            <w:tcW w:w="0" w:type="auto"/>
            <w:tcBorders>
              <w:top w:val="nil"/>
              <w:left w:val="nil"/>
              <w:bottom w:val="nil"/>
              <w:right w:val="single" w:sz="6" w:space="0" w:color="000000"/>
            </w:tcBorders>
            <w:shd w:val="clear" w:color="auto" w:fill="E9E9E9"/>
            <w:tcMar>
              <w:top w:w="105" w:type="dxa"/>
              <w:left w:w="105" w:type="dxa"/>
              <w:bottom w:w="105" w:type="dxa"/>
              <w:right w:w="105" w:type="dxa"/>
            </w:tcMar>
            <w:hideMark/>
          </w:tcPr>
          <w:p w14:paraId="62C0C0F9" w14:textId="77777777" w:rsidR="00241E70" w:rsidRPr="00241E70" w:rsidRDefault="00241E70" w:rsidP="00241E70">
            <w:pPr>
              <w:spacing w:after="0" w:line="240" w:lineRule="auto"/>
              <w:jc w:val="right"/>
              <w:rPr>
                <w:rFonts w:ascii="Tahoma" w:eastAsia="Times New Roman" w:hAnsi="Tahoma" w:cs="Tahoma"/>
                <w:b/>
                <w:bCs/>
                <w:color w:val="696969"/>
                <w:sz w:val="23"/>
                <w:szCs w:val="23"/>
              </w:rPr>
            </w:pPr>
            <w:r w:rsidRPr="00241E70">
              <w:rPr>
                <w:rFonts w:ascii="Tahoma" w:eastAsia="Times New Roman" w:hAnsi="Tahoma" w:cs="Tahoma"/>
                <w:b/>
                <w:bCs/>
                <w:color w:val="696969"/>
                <w:sz w:val="23"/>
                <w:szCs w:val="23"/>
              </w:rPr>
              <w:t>Y1999</w:t>
            </w:r>
          </w:p>
        </w:tc>
        <w:tc>
          <w:tcPr>
            <w:tcW w:w="0" w:type="auto"/>
            <w:tcBorders>
              <w:top w:val="nil"/>
              <w:left w:val="nil"/>
              <w:bottom w:val="nil"/>
              <w:right w:val="nil"/>
            </w:tcBorders>
            <w:shd w:val="clear" w:color="auto" w:fill="E9E9E9"/>
            <w:tcMar>
              <w:top w:w="105" w:type="dxa"/>
              <w:left w:w="105" w:type="dxa"/>
              <w:bottom w:w="105" w:type="dxa"/>
              <w:right w:w="345" w:type="dxa"/>
            </w:tcMar>
            <w:hideMark/>
          </w:tcPr>
          <w:p w14:paraId="17B7FEC1" w14:textId="77777777" w:rsidR="00241E70" w:rsidRPr="00241E70" w:rsidRDefault="00241E70" w:rsidP="00241E70">
            <w:pPr>
              <w:spacing w:after="0" w:line="240" w:lineRule="auto"/>
              <w:jc w:val="right"/>
              <w:rPr>
                <w:rFonts w:ascii="Tahoma" w:eastAsia="Times New Roman" w:hAnsi="Tahoma" w:cs="Tahoma"/>
                <w:b/>
                <w:bCs/>
                <w:color w:val="696969"/>
                <w:sz w:val="23"/>
                <w:szCs w:val="23"/>
              </w:rPr>
            </w:pPr>
            <w:r w:rsidRPr="00241E70">
              <w:rPr>
                <w:rFonts w:ascii="Tahoma" w:eastAsia="Times New Roman" w:hAnsi="Tahoma" w:cs="Tahoma"/>
                <w:b/>
                <w:bCs/>
                <w:color w:val="696969"/>
                <w:sz w:val="23"/>
                <w:szCs w:val="23"/>
              </w:rPr>
              <w:t>Y1998</w:t>
            </w:r>
          </w:p>
        </w:tc>
      </w:tr>
      <w:tr w:rsidR="00241E70" w:rsidRPr="00241E70" w14:paraId="477E4911"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21008AB3"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Sales</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2CD5B671"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1.87%</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DC4D67C"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72,448</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236506D3"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87,325</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5C393D5"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75,445</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B0B41A5"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75,167</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29E24D1B"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74,233</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9B4C984"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84,016</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7A3BC72"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87,000</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F81460B"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78,396</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D68EBA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68,582</w:t>
            </w:r>
          </w:p>
        </w:tc>
        <w:tc>
          <w:tcPr>
            <w:tcW w:w="0" w:type="auto"/>
            <w:tcBorders>
              <w:top w:val="nil"/>
              <w:left w:val="nil"/>
              <w:bottom w:val="nil"/>
              <w:right w:val="nil"/>
            </w:tcBorders>
            <w:shd w:val="clear" w:color="auto" w:fill="FFFFFF"/>
            <w:tcMar>
              <w:top w:w="105" w:type="dxa"/>
              <w:left w:w="105" w:type="dxa"/>
              <w:bottom w:w="105" w:type="dxa"/>
              <w:right w:w="75" w:type="dxa"/>
            </w:tcMar>
            <w:hideMark/>
          </w:tcPr>
          <w:p w14:paraId="1D25A02B"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60,177</w:t>
            </w:r>
          </w:p>
        </w:tc>
      </w:tr>
      <w:tr w:rsidR="00241E70" w:rsidRPr="00241E70" w14:paraId="1DC7D6DC"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2C5FAE6"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Total Operating Expenses</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10372EB6"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1.34%</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007B7D6"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67,827</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3245DAA"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83,520</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152A2332"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71,998</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C94DFE0"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72,152</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465D5C62"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71,951</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6ADE470"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82,702</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8213F14"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88,662</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E7DCA6B"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74,855</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ACB30C8"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67,964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301B2E31"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59,365</w:t>
            </w:r>
          </w:p>
        </w:tc>
      </w:tr>
      <w:tr w:rsidR="00241E70" w:rsidRPr="00241E70" w14:paraId="0F9EFC8D"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68A6D39"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Selling, General, and Admin. Expenses</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78CD921"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0.12%</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172B462"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15,502</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87EF4EF"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20,494</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9874CC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18,839</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699C4A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18,630</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41A7B28"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18,601</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6F39FB8"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21,274</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2B434F27"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23,422</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04067EE"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19,354</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1DFEA5B"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17,663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162E772F"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15,321</w:t>
            </w:r>
          </w:p>
        </w:tc>
      </w:tr>
      <w:tr w:rsidR="00241E70" w:rsidRPr="00241E70" w14:paraId="45F3C9F5"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14B62B8"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Cost Of Goods Sold</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24172136"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1.95%</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2661CB77"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48,563</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10C76C93"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60,099</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4D9CFCCC"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50,213</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1A9AFD32"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50,701</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46F02DE5"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50,177</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71D9604"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57,873</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1510D98B"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60,011</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427664EA"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51,075</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30A406B"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46,071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B5639CA"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40,024</w:t>
            </w:r>
          </w:p>
        </w:tc>
      </w:tr>
      <w:tr w:rsidR="00241E70" w:rsidRPr="00241E70" w14:paraId="7DC4AF75"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4979219"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EBITD</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5CC979C"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2.45%</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04E0FCF0"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8,901</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46543EAE"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7,903</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28F57B98"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7,642</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C933CA6"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7,504</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78AA29D"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7,089</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4C8D5A0B"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7,773</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5C43F3F"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8,737</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4BB3944"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14,658</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0D90B654"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6,940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03AF7914"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6,988</w:t>
            </w:r>
          </w:p>
        </w:tc>
      </w:tr>
      <w:tr w:rsidR="00241E70" w:rsidRPr="00241E70" w14:paraId="193D46CE"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D8C085F"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EBIT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02A21DF"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6.61%</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B621724"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5,998</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2D1EA396"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4,976</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B767BC0"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4,696</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B762873"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4,683</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EFAAA5A"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3,916</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1663216"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4,218</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89C4557"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3,631</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E1D0227"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10,377</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9E8936C"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3,648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2A6C5673"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3,163</w:t>
            </w:r>
          </w:p>
        </w:tc>
      </w:tr>
      <w:tr w:rsidR="00241E70" w:rsidRPr="00241E70" w14:paraId="68299E79" w14:textId="77777777" w:rsidTr="00241E70">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5ED21C2F"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Net Income</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3D901EA0"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11.69%</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5CF3BB03"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3,710</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0D5A4898"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3,087</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5B9FB546"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3,058</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18FA3844"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3,405</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524D4984"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2,409</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7A0A2B5C"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2,597</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732E6387"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2,088</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55AD1CAA"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7,549</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6D3191E0"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1,615</w:t>
            </w:r>
          </w:p>
        </w:tc>
        <w:tc>
          <w:tcPr>
            <w:tcW w:w="0" w:type="auto"/>
            <w:tcBorders>
              <w:top w:val="nil"/>
              <w:left w:val="nil"/>
              <w:bottom w:val="single" w:sz="6" w:space="0" w:color="696969"/>
              <w:right w:val="nil"/>
            </w:tcBorders>
            <w:shd w:val="clear" w:color="auto" w:fill="FFFFFF"/>
            <w:tcMar>
              <w:top w:w="105" w:type="dxa"/>
              <w:left w:w="105" w:type="dxa"/>
              <w:bottom w:w="105" w:type="dxa"/>
              <w:right w:w="105" w:type="dxa"/>
            </w:tcMar>
            <w:hideMark/>
          </w:tcPr>
          <w:p w14:paraId="21B642B3"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1,228</w:t>
            </w:r>
          </w:p>
        </w:tc>
      </w:tr>
      <w:tr w:rsidR="00241E70" w:rsidRPr="00241E70" w14:paraId="15DA8DAA"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1FB172CF"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Total Assets</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58E236C"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2.87%</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8F1D73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88,961</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20DAA29D"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85,990</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E9D3301"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79,884</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FBAA2A0"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74,707</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5FDB84D"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73,246</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1945CA1"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74,253</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43B27397"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86,434</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0093F4C"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93,366</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DCE1F7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72,741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179A4F22"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67,048</w:t>
            </w:r>
          </w:p>
        </w:tc>
      </w:tr>
      <w:tr w:rsidR="00241E70" w:rsidRPr="00241E70" w14:paraId="3B4DFE09"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C798314"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lastRenderedPageBreak/>
              <w:t>Total Current Assets</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CA68BAD"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1.97%</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C495DF6"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47,932</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25A698B6"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51,611</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033D38CA"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46,803</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EB8597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45,946</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14D6AB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43,489</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2041E0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44,062</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23012F84"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51,013</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F889252"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58,076</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5625CE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41,371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199319B5"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39,436</w:t>
            </w:r>
          </w:p>
        </w:tc>
      </w:tr>
      <w:tr w:rsidR="00241E70" w:rsidRPr="00241E70" w14:paraId="637EEFBC"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A176B79"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Total Liabilities</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2F82D062"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1.41%</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488107C2"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59,334</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1913743F"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55,982</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1A5F5567"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52,111</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65C12F4"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47,323</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254FFFDF"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48,897</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917D0B4"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50,191</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1AE2FD3"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58,602</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426DB8D3"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67,728</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6584435"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55,541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033D58A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51,560</w:t>
            </w:r>
          </w:p>
        </w:tc>
      </w:tr>
      <w:tr w:rsidR="00241E70" w:rsidRPr="00241E70" w14:paraId="76A8B6B1"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7BFDCD0"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Total Current Liabilities</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686D60E"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5.94%</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DCE9D4B"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43,894</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2A7527A8"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38,957</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B7F109A"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39,833</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04ACC31C"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33,372</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2C5B0A8"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32,028</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251712AC"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34,712</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01340ADC"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44,524</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44913A24"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34,602</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27054F8"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28,113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7A785D85"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24,643</w:t>
            </w:r>
          </w:p>
        </w:tc>
      </w:tr>
      <w:tr w:rsidR="00241E70" w:rsidRPr="00241E70" w14:paraId="676244B1"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41759C69"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Total Debt</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7FE4893"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7.66%</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13326D6"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15,497</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265CE1D"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15,574</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6A0F75F"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12,435</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83E99E7"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11,219</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44A31B11"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13,178</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40524773"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12,346</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2F8BCC50"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12,610</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2129E21F"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9,134</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ED4768F"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7,262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17D527BD"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7,406</w:t>
            </w:r>
          </w:p>
        </w:tc>
      </w:tr>
      <w:tr w:rsidR="00241E70" w:rsidRPr="00241E70" w14:paraId="58039CE8"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FF21BA2"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Total Common Equity</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461AEDD1"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7.09%</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2224E35"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28,996</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491F1494"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29,306</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48655CFD"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27,117</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3AD2CF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26,855</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5A34F35"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23,715</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5227CBE"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23,521</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471872B8"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23,812</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0FF5D3B0"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23,226</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4C6CE6B"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16,229</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9E9C3A6"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14,614</w:t>
            </w:r>
          </w:p>
        </w:tc>
      </w:tr>
      <w:tr w:rsidR="00241E70" w:rsidRPr="00241E70" w14:paraId="209075C9" w14:textId="77777777" w:rsidTr="00241E70">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1DA755D0"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Year End Market Capitalization</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3793C4C2"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12.10%</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3AF02928"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87,992</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2A67C5D7"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61,316</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6A1D8891"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57,163</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0A0D1D1D"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52,573</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34228D5F"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45,434</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2C9632F4"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30,227</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192D9262"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36,773</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045587FB"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85,789</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604E5B82"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46,126</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14:paraId="39197453"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28,069</w:t>
            </w:r>
          </w:p>
        </w:tc>
      </w:tr>
      <w:tr w:rsidR="00241E70" w:rsidRPr="00241E70" w14:paraId="64B22BA9"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1036D7E"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Capital Expenditures</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B8C73EE"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0.10%</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64866A6"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3,751</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296CB72"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3,970</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E077F6C"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3,544</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40B0361D"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2,764</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4318D53F"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2,852</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2AB99C24"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3,894</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2DA7EB25"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7,048</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DF4AAA8"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5,189</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4E43BC0F"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3,816</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17925ACD"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3,714</w:t>
            </w:r>
          </w:p>
        </w:tc>
      </w:tr>
      <w:tr w:rsidR="00241E70" w:rsidRPr="00241E70" w14:paraId="1D29EFD4"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2241CD49"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Free Cash Flow</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516D29A8"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N/A</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3E3FE73"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1,116</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CA57B9C"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−190</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383F6D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−1,535</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8A1C13D"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1,338</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207F3C45"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1,964</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4C37E740"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782</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17AF6755"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−1,444</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F1BDCA1"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2,372</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2AEBE18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1,443</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3637FE77"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−2,116</w:t>
            </w:r>
          </w:p>
        </w:tc>
      </w:tr>
      <w:tr w:rsidR="00241E70" w:rsidRPr="00241E70" w14:paraId="43EDB5A5"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CE24E43"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ROA</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40E14DA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N/A</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E6D26D6"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4.17%</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C779C6F"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3.59%</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3B92D1B"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3.83%</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22045C65"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4.56%</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C5964A3"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3.29%</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2C7681CE"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3.50%</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95E8557"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2.42%</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A2E3BB7"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8.09%</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AB59E8A"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2.22%</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249003C7"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1.83%</w:t>
            </w:r>
          </w:p>
        </w:tc>
      </w:tr>
      <w:tr w:rsidR="00241E70" w:rsidRPr="00241E70" w14:paraId="3FCDC314"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115E584E"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ROE</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B6E683F"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N/A</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5A236C5"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12.79%</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B1BDD0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10.53%</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6FB8853"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11.28%</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6AA99AC3"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12.68%</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7A3170A"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10.16%</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16B79933"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11.04%</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1C7D06B5"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8.77%</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37704AE"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32.50%</w:t>
            </w:r>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7FB402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9.95%</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CD91A2B"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8.40%</w:t>
            </w:r>
          </w:p>
        </w:tc>
      </w:tr>
      <w:tr w:rsidR="00241E70" w:rsidRPr="00241E70" w14:paraId="3206B839"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3C1BFD7"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Employees</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4AE97252"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−0.74%</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8D39E1C"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386,200</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9658EB5"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475,000</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8209D60"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460,800</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6427419"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430,000</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0E6C9F41"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417,000</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8262E9E"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426,000</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BD75177"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484,000</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E5D3BFD"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446,800</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9D33932"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440,200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745F64C" w14:textId="77777777" w:rsidR="00241E70" w:rsidRPr="00241E70" w:rsidRDefault="00241E70" w:rsidP="00241E70">
            <w:pPr>
              <w:spacing w:after="0" w:line="240" w:lineRule="auto"/>
              <w:jc w:val="right"/>
              <w:rPr>
                <w:rFonts w:ascii="Tahoma" w:eastAsia="Times New Roman" w:hAnsi="Tahoma" w:cs="Tahoma"/>
                <w:sz w:val="23"/>
                <w:szCs w:val="23"/>
              </w:rPr>
            </w:pPr>
            <w:r w:rsidRPr="00241E70">
              <w:rPr>
                <w:rFonts w:ascii="Tahoma" w:eastAsia="Times New Roman" w:hAnsi="Tahoma" w:cs="Tahoma"/>
                <w:sz w:val="23"/>
                <w:szCs w:val="23"/>
              </w:rPr>
              <w:t>416,000</w:t>
            </w:r>
          </w:p>
        </w:tc>
      </w:tr>
    </w:tbl>
    <w:p w14:paraId="46D62ACA" w14:textId="77777777" w:rsidR="00241E70" w:rsidRPr="00241E70" w:rsidRDefault="00241E70" w:rsidP="00241E70">
      <w:pPr>
        <w:shd w:val="clear" w:color="auto" w:fill="FFFFFF"/>
        <w:spacing w:after="0" w:line="240" w:lineRule="auto"/>
        <w:rPr>
          <w:rFonts w:ascii="Cambria" w:eastAsia="Times New Roman" w:hAnsi="Cambria" w:cs="Times New Roman"/>
          <w:color w:val="575757"/>
          <w:sz w:val="27"/>
          <w:szCs w:val="27"/>
        </w:rPr>
      </w:pPr>
      <w:r w:rsidRPr="00241E70">
        <w:rPr>
          <w:rFonts w:ascii="Cambria" w:eastAsia="Times New Roman" w:hAnsi="Cambria" w:cs="Times New Roman"/>
          <w:noProof/>
          <w:color w:val="575757"/>
          <w:sz w:val="27"/>
          <w:szCs w:val="27"/>
        </w:rPr>
        <w:drawing>
          <wp:inline distT="0" distB="0" distL="0" distR="0" wp14:anchorId="518B36A5" wp14:editId="64BC470F">
            <wp:extent cx="198120" cy="198120"/>
            <wp:effectExtent l="0" t="0" r="0" b="0"/>
            <wp:docPr id="53" name="Picture 53" descr="Enlar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Enlarge Tab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p>
    <w:p w14:paraId="2134572F" w14:textId="77777777" w:rsidR="00241E70" w:rsidRPr="00241E70" w:rsidRDefault="00241E70" w:rsidP="00241E70">
      <w:pPr>
        <w:shd w:val="clear" w:color="auto" w:fill="FFFFFF"/>
        <w:spacing w:line="240" w:lineRule="auto"/>
        <w:rPr>
          <w:rFonts w:ascii="Cambria" w:eastAsia="Times New Roman" w:hAnsi="Cambria" w:cs="Times New Roman"/>
          <w:color w:val="575757"/>
          <w:sz w:val="27"/>
          <w:szCs w:val="27"/>
        </w:rPr>
      </w:pPr>
      <w:r w:rsidRPr="00241E70">
        <w:rPr>
          <w:rFonts w:ascii="Tahoma" w:eastAsia="Times New Roman" w:hAnsi="Tahoma" w:cs="Tahoma"/>
          <w:color w:val="575757"/>
        </w:rPr>
        <w:t>Source: Thomson Financial.</w:t>
      </w:r>
    </w:p>
    <w:p w14:paraId="70016AB5" w14:textId="77777777" w:rsidR="00241E70" w:rsidRPr="00241E70" w:rsidRDefault="00241E70" w:rsidP="00241E70">
      <w:pPr>
        <w:spacing w:after="0" w:line="240" w:lineRule="auto"/>
        <w:rPr>
          <w:rFonts w:ascii="Cambria" w:eastAsia="Times New Roman" w:hAnsi="Cambria" w:cs="Times New Roman"/>
          <w:color w:val="575757"/>
          <w:sz w:val="27"/>
          <w:szCs w:val="27"/>
        </w:rPr>
      </w:pPr>
      <w:r w:rsidRPr="00241E70">
        <w:rPr>
          <w:rFonts w:ascii="Tahoma" w:eastAsia="Times New Roman" w:hAnsi="Tahoma" w:cs="Tahoma"/>
          <w:color w:val="575757"/>
          <w:sz w:val="30"/>
          <w:szCs w:val="30"/>
          <w:shd w:val="clear" w:color="auto" w:fill="80B33D"/>
        </w:rPr>
        <w:t>Exhibit 9</w:t>
      </w:r>
    </w:p>
    <w:p w14:paraId="01678A48" w14:textId="77777777" w:rsidR="00241E70" w:rsidRPr="00241E70" w:rsidRDefault="00241E70" w:rsidP="00241E70">
      <w:pPr>
        <w:spacing w:line="240" w:lineRule="auto"/>
        <w:ind w:left="375"/>
        <w:outlineLvl w:val="2"/>
        <w:rPr>
          <w:rFonts w:ascii="Tahoma" w:eastAsia="Times New Roman" w:hAnsi="Tahoma" w:cs="Tahoma"/>
          <w:b/>
          <w:bCs/>
          <w:color w:val="575757"/>
          <w:sz w:val="30"/>
          <w:szCs w:val="30"/>
        </w:rPr>
      </w:pPr>
      <w:r w:rsidRPr="00241E70">
        <w:rPr>
          <w:rFonts w:ascii="Tahoma" w:eastAsia="Times New Roman" w:hAnsi="Tahoma" w:cs="Tahoma"/>
          <w:b/>
          <w:bCs/>
          <w:color w:val="575757"/>
          <w:sz w:val="30"/>
          <w:szCs w:val="30"/>
        </w:rPr>
        <w:t>Profiles of Selected Top Management Team Members</w:t>
      </w:r>
    </w:p>
    <w:tbl>
      <w:tblPr>
        <w:tblW w:w="7800"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1424"/>
        <w:gridCol w:w="1724"/>
        <w:gridCol w:w="4652"/>
      </w:tblGrid>
      <w:tr w:rsidR="00241E70" w:rsidRPr="00241E70" w14:paraId="7FB63E79"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C30AE9D"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Name</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72A7C1A8"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Position</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28BD42BE"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Profile</w:t>
            </w:r>
          </w:p>
        </w:tc>
      </w:tr>
      <w:tr w:rsidR="00241E70" w:rsidRPr="00241E70" w14:paraId="6321470E"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0D87A4CA"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b/>
                <w:bCs/>
                <w:sz w:val="23"/>
                <w:szCs w:val="23"/>
              </w:rPr>
              <w:t xml:space="preserve">Heinrich von </w:t>
            </w:r>
            <w:proofErr w:type="spellStart"/>
            <w:r w:rsidRPr="00241E70">
              <w:rPr>
                <w:rFonts w:ascii="Tahoma" w:eastAsia="Times New Roman" w:hAnsi="Tahoma" w:cs="Tahoma"/>
                <w:b/>
                <w:bCs/>
                <w:sz w:val="23"/>
                <w:szCs w:val="23"/>
              </w:rPr>
              <w:t>Pierer</w:t>
            </w:r>
            <w:proofErr w:type="spellEnd"/>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27C9A48A"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President &amp; CEO (1992-2005)</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7DB9FCB9"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 xml:space="preserve">Dr. Heinrich von </w:t>
            </w:r>
            <w:proofErr w:type="spellStart"/>
            <w:r w:rsidRPr="00241E70">
              <w:rPr>
                <w:rFonts w:ascii="Tahoma" w:eastAsia="Times New Roman" w:hAnsi="Tahoma" w:cs="Tahoma"/>
                <w:sz w:val="23"/>
                <w:szCs w:val="23"/>
              </w:rPr>
              <w:t>Pierer</w:t>
            </w:r>
            <w:proofErr w:type="spellEnd"/>
            <w:r w:rsidRPr="00241E70">
              <w:rPr>
                <w:rFonts w:ascii="Tahoma" w:eastAsia="Times New Roman" w:hAnsi="Tahoma" w:cs="Tahoma"/>
                <w:sz w:val="23"/>
                <w:szCs w:val="23"/>
              </w:rPr>
              <w:t xml:space="preserve"> studied law and economics at the Friedrich-Alexander University in Erlangen-Nuremberg, Germany. He joined Siemens in 1969 and began his career working in the company’s legal department. In 1977, he moved to the company’s power generation subsidiary Kraftwerk Union AG (KWU), where he was involved with major power plant projects throughout the world. </w:t>
            </w:r>
            <w:proofErr w:type="spellStart"/>
            <w:r w:rsidRPr="00241E70">
              <w:rPr>
                <w:rFonts w:ascii="Tahoma" w:eastAsia="Times New Roman" w:hAnsi="Tahoma" w:cs="Tahoma"/>
                <w:sz w:val="23"/>
                <w:szCs w:val="23"/>
              </w:rPr>
              <w:t>Pierer</w:t>
            </w:r>
            <w:proofErr w:type="spellEnd"/>
            <w:r w:rsidRPr="00241E70">
              <w:rPr>
                <w:rFonts w:ascii="Tahoma" w:eastAsia="Times New Roman" w:hAnsi="Tahoma" w:cs="Tahoma"/>
                <w:sz w:val="23"/>
                <w:szCs w:val="23"/>
              </w:rPr>
              <w:t xml:space="preserve"> took over as head of business administration at KWU in 1988 and was appointed to the board. The following year, he was named President of KWU and, at the same time, a member of the Managing Board of Siemens AG. He was appointed to the Corporate Executive Committee in 1990, and the next year was </w:t>
            </w:r>
            <w:r w:rsidRPr="00241E70">
              <w:rPr>
                <w:rFonts w:ascii="Tahoma" w:eastAsia="Times New Roman" w:hAnsi="Tahoma" w:cs="Tahoma"/>
                <w:sz w:val="23"/>
                <w:szCs w:val="23"/>
              </w:rPr>
              <w:lastRenderedPageBreak/>
              <w:t xml:space="preserve">named Deputy Chairman of the Managing Board of Siemens AG. </w:t>
            </w:r>
            <w:proofErr w:type="spellStart"/>
            <w:r w:rsidRPr="00241E70">
              <w:rPr>
                <w:rFonts w:ascii="Tahoma" w:eastAsia="Times New Roman" w:hAnsi="Tahoma" w:cs="Tahoma"/>
                <w:sz w:val="23"/>
                <w:szCs w:val="23"/>
              </w:rPr>
              <w:t>Pierer</w:t>
            </w:r>
            <w:proofErr w:type="spellEnd"/>
            <w:r w:rsidRPr="00241E70">
              <w:rPr>
                <w:rFonts w:ascii="Tahoma" w:eastAsia="Times New Roman" w:hAnsi="Tahoma" w:cs="Tahoma"/>
                <w:sz w:val="23"/>
                <w:szCs w:val="23"/>
              </w:rPr>
              <w:t xml:space="preserve"> served as President and CEO from October 1992 to January 2005. </w:t>
            </w:r>
            <w:proofErr w:type="spellStart"/>
            <w:r w:rsidRPr="00241E70">
              <w:rPr>
                <w:rFonts w:ascii="Tahoma" w:eastAsia="Times New Roman" w:hAnsi="Tahoma" w:cs="Tahoma"/>
                <w:sz w:val="23"/>
                <w:szCs w:val="23"/>
              </w:rPr>
              <w:t>Pierer</w:t>
            </w:r>
            <w:proofErr w:type="spellEnd"/>
            <w:r w:rsidRPr="00241E70">
              <w:rPr>
                <w:rFonts w:ascii="Tahoma" w:eastAsia="Times New Roman" w:hAnsi="Tahoma" w:cs="Tahoma"/>
                <w:sz w:val="23"/>
                <w:szCs w:val="23"/>
              </w:rPr>
              <w:t xml:space="preserve"> was elected to the Supervisory Board at the Annual Shareholders’ Meeting on January 2005, and subsequently held the post of Chairman until April 2007.</w:t>
            </w:r>
          </w:p>
        </w:tc>
      </w:tr>
      <w:tr w:rsidR="00241E70" w:rsidRPr="00241E70" w14:paraId="402A0ABE"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0EAFDC0D"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b/>
                <w:bCs/>
                <w:sz w:val="23"/>
                <w:szCs w:val="23"/>
              </w:rPr>
              <w:lastRenderedPageBreak/>
              <w:t>Klaus Kleinfeld</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0B998AC9"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President &amp; CEO (2005-2007)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1C6DED01"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Dr. Klaus Kleinfeld held the post of CEO of Siemens AG from January 2005 to June 2007. Kleinfeld worked at Siemens for about 20 years and transformed, among other things, Siemens Management Consulting into an effective partner for the global businesses. Furthermore, he was a member of the Group Executive Management of the Medical Solutions Group. As CEO of Siemens’ regional business in the U.S., he contributed significantly to the profitable turnaround of the business there within two years. Kleinfeld started his business career in a consulting firm in Germany. Prior to joining Siemens, he was a strategic product manager at the CIBA-GEIGY Pharmaceuticals Division in Basel, Switzerland. He earned a Master’s degree in Business Administration/Economics from the University of Göttingen (Germany) in 1982, followed by a Ph.D. in Strategic Management from the University of Würzburg (Germany) in 1992.</w:t>
            </w:r>
          </w:p>
        </w:tc>
      </w:tr>
      <w:tr w:rsidR="00241E70" w:rsidRPr="00241E70" w14:paraId="14147003"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27EAEA86"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b/>
                <w:bCs/>
                <w:sz w:val="23"/>
                <w:szCs w:val="23"/>
              </w:rPr>
              <w:t xml:space="preserve">Peter </w:t>
            </w:r>
            <w:proofErr w:type="spellStart"/>
            <w:r w:rsidRPr="00241E70">
              <w:rPr>
                <w:rFonts w:ascii="Tahoma" w:eastAsia="Times New Roman" w:hAnsi="Tahoma" w:cs="Tahoma"/>
                <w:b/>
                <w:bCs/>
                <w:sz w:val="23"/>
                <w:szCs w:val="23"/>
              </w:rPr>
              <w:t>Löscher</w:t>
            </w:r>
            <w:proofErr w:type="spellEnd"/>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7A33E5CD"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President &amp; CEO (2007-present)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3403E27C"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 xml:space="preserve">Peter H. </w:t>
            </w:r>
            <w:proofErr w:type="spellStart"/>
            <w:r w:rsidRPr="00241E70">
              <w:rPr>
                <w:rFonts w:ascii="Tahoma" w:eastAsia="Times New Roman" w:hAnsi="Tahoma" w:cs="Tahoma"/>
                <w:sz w:val="23"/>
                <w:szCs w:val="23"/>
              </w:rPr>
              <w:t>Löscher</w:t>
            </w:r>
            <w:proofErr w:type="spellEnd"/>
            <w:r w:rsidRPr="00241E70">
              <w:rPr>
                <w:rFonts w:ascii="Tahoma" w:eastAsia="Times New Roman" w:hAnsi="Tahoma" w:cs="Tahoma"/>
                <w:sz w:val="23"/>
                <w:szCs w:val="23"/>
              </w:rPr>
              <w:t xml:space="preserve"> has been CEO and President of Siemens AG at Siemens Healthcare since July 2007. He served as President and CEO of GE Healthcare Bio-Sciences since April 2004. He served as President of Global Human Health for Merck &amp; Co. Inc. from May 2006 to July 2007. He served as COO of </w:t>
            </w:r>
            <w:proofErr w:type="spellStart"/>
            <w:r w:rsidRPr="00241E70">
              <w:rPr>
                <w:rFonts w:ascii="Tahoma" w:eastAsia="Times New Roman" w:hAnsi="Tahoma" w:cs="Tahoma"/>
                <w:sz w:val="23"/>
                <w:szCs w:val="23"/>
              </w:rPr>
              <w:t>Amersham</w:t>
            </w:r>
            <w:proofErr w:type="spellEnd"/>
            <w:r w:rsidRPr="00241E70">
              <w:rPr>
                <w:rFonts w:ascii="Tahoma" w:eastAsia="Times New Roman" w:hAnsi="Tahoma" w:cs="Tahoma"/>
                <w:sz w:val="23"/>
                <w:szCs w:val="23"/>
              </w:rPr>
              <w:t xml:space="preserve"> PLC since January 2004. He joined </w:t>
            </w:r>
            <w:proofErr w:type="spellStart"/>
            <w:r w:rsidRPr="00241E70">
              <w:rPr>
                <w:rFonts w:ascii="Tahoma" w:eastAsia="Times New Roman" w:hAnsi="Tahoma" w:cs="Tahoma"/>
                <w:sz w:val="23"/>
                <w:szCs w:val="23"/>
              </w:rPr>
              <w:t>Amersham</w:t>
            </w:r>
            <w:proofErr w:type="spellEnd"/>
            <w:r w:rsidRPr="00241E70">
              <w:rPr>
                <w:rFonts w:ascii="Tahoma" w:eastAsia="Times New Roman" w:hAnsi="Tahoma" w:cs="Tahoma"/>
                <w:sz w:val="23"/>
                <w:szCs w:val="23"/>
              </w:rPr>
              <w:t xml:space="preserve"> PLC in December 2002 as President of </w:t>
            </w:r>
            <w:proofErr w:type="spellStart"/>
            <w:r w:rsidRPr="00241E70">
              <w:rPr>
                <w:rFonts w:ascii="Tahoma" w:eastAsia="Times New Roman" w:hAnsi="Tahoma" w:cs="Tahoma"/>
                <w:sz w:val="23"/>
                <w:szCs w:val="23"/>
              </w:rPr>
              <w:t>Amersham</w:t>
            </w:r>
            <w:proofErr w:type="spellEnd"/>
            <w:r w:rsidRPr="00241E70">
              <w:rPr>
                <w:rFonts w:ascii="Tahoma" w:eastAsia="Times New Roman" w:hAnsi="Tahoma" w:cs="Tahoma"/>
                <w:sz w:val="23"/>
                <w:szCs w:val="23"/>
              </w:rPr>
              <w:t xml:space="preserve"> Health. Prior to </w:t>
            </w:r>
            <w:proofErr w:type="spellStart"/>
            <w:r w:rsidRPr="00241E70">
              <w:rPr>
                <w:rFonts w:ascii="Tahoma" w:eastAsia="Times New Roman" w:hAnsi="Tahoma" w:cs="Tahoma"/>
                <w:sz w:val="23"/>
                <w:szCs w:val="23"/>
              </w:rPr>
              <w:t>Amersham</w:t>
            </w:r>
            <w:proofErr w:type="spellEnd"/>
            <w:r w:rsidRPr="00241E70">
              <w:rPr>
                <w:rFonts w:ascii="Tahoma" w:eastAsia="Times New Roman" w:hAnsi="Tahoma" w:cs="Tahoma"/>
                <w:sz w:val="23"/>
                <w:szCs w:val="23"/>
              </w:rPr>
              <w:t xml:space="preserve"> Plc, Mr. </w:t>
            </w:r>
            <w:proofErr w:type="spellStart"/>
            <w:r w:rsidRPr="00241E70">
              <w:rPr>
                <w:rFonts w:ascii="Tahoma" w:eastAsia="Times New Roman" w:hAnsi="Tahoma" w:cs="Tahoma"/>
                <w:sz w:val="23"/>
                <w:szCs w:val="23"/>
              </w:rPr>
              <w:t>Löscher</w:t>
            </w:r>
            <w:proofErr w:type="spellEnd"/>
            <w:r w:rsidRPr="00241E70">
              <w:rPr>
                <w:rFonts w:ascii="Tahoma" w:eastAsia="Times New Roman" w:hAnsi="Tahoma" w:cs="Tahoma"/>
                <w:sz w:val="23"/>
                <w:szCs w:val="23"/>
              </w:rPr>
              <w:t xml:space="preserve"> served more than 16 years in </w:t>
            </w:r>
            <w:r w:rsidRPr="00241E70">
              <w:rPr>
                <w:rFonts w:ascii="Tahoma" w:eastAsia="Times New Roman" w:hAnsi="Tahoma" w:cs="Tahoma"/>
                <w:sz w:val="23"/>
                <w:szCs w:val="23"/>
              </w:rPr>
              <w:lastRenderedPageBreak/>
              <w:t xml:space="preserve">senior management roles in the pharmaceutical industry, including a position as Chairman of Aventis Pharma Japan and also as its President and CEO from 1999 to 2002. Mr. </w:t>
            </w:r>
            <w:proofErr w:type="spellStart"/>
            <w:r w:rsidRPr="00241E70">
              <w:rPr>
                <w:rFonts w:ascii="Tahoma" w:eastAsia="Times New Roman" w:hAnsi="Tahoma" w:cs="Tahoma"/>
                <w:sz w:val="23"/>
                <w:szCs w:val="23"/>
              </w:rPr>
              <w:t>Löscher</w:t>
            </w:r>
            <w:proofErr w:type="spellEnd"/>
            <w:r w:rsidRPr="00241E70">
              <w:rPr>
                <w:rFonts w:ascii="Tahoma" w:eastAsia="Times New Roman" w:hAnsi="Tahoma" w:cs="Tahoma"/>
                <w:sz w:val="23"/>
                <w:szCs w:val="23"/>
              </w:rPr>
              <w:t xml:space="preserve"> served as Managing Director of Hoechst Roussel </w:t>
            </w:r>
            <w:proofErr w:type="spellStart"/>
            <w:r w:rsidRPr="00241E70">
              <w:rPr>
                <w:rFonts w:ascii="Tahoma" w:eastAsia="Times New Roman" w:hAnsi="Tahoma" w:cs="Tahoma"/>
                <w:sz w:val="23"/>
                <w:szCs w:val="23"/>
              </w:rPr>
              <w:t>Veterinaria</w:t>
            </w:r>
            <w:proofErr w:type="spellEnd"/>
            <w:r w:rsidRPr="00241E70">
              <w:rPr>
                <w:rFonts w:ascii="Tahoma" w:eastAsia="Times New Roman" w:hAnsi="Tahoma" w:cs="Tahoma"/>
                <w:sz w:val="23"/>
                <w:szCs w:val="23"/>
              </w:rPr>
              <w:t xml:space="preserve"> A.I.E., Spain, U.S. Vice President, Hoechst Roussel Agri-Vet Company; Head of Corporate Planning, Hoechst AG, Germany and Project Leader for NYSE Listing, Hoechst AG, Germany since 1988. He served as CEO of Hoechst Marion </w:t>
            </w:r>
            <w:proofErr w:type="spellStart"/>
            <w:r w:rsidRPr="00241E70">
              <w:rPr>
                <w:rFonts w:ascii="Tahoma" w:eastAsia="Times New Roman" w:hAnsi="Tahoma" w:cs="Tahoma"/>
                <w:sz w:val="23"/>
                <w:szCs w:val="23"/>
              </w:rPr>
              <w:t>Roussell</w:t>
            </w:r>
            <w:proofErr w:type="spellEnd"/>
            <w:r w:rsidRPr="00241E70">
              <w:rPr>
                <w:rFonts w:ascii="Tahoma" w:eastAsia="Times New Roman" w:hAnsi="Tahoma" w:cs="Tahoma"/>
                <w:sz w:val="23"/>
                <w:szCs w:val="23"/>
              </w:rPr>
              <w:t xml:space="preserve"> Limited in the UK since 1997. He served as Senior Management Consultant of </w:t>
            </w:r>
            <w:proofErr w:type="spellStart"/>
            <w:r w:rsidRPr="00241E70">
              <w:rPr>
                <w:rFonts w:ascii="Tahoma" w:eastAsia="Times New Roman" w:hAnsi="Tahoma" w:cs="Tahoma"/>
                <w:sz w:val="23"/>
                <w:szCs w:val="23"/>
              </w:rPr>
              <w:t>Kienbaum</w:t>
            </w:r>
            <w:proofErr w:type="spellEnd"/>
            <w:r w:rsidRPr="00241E70">
              <w:rPr>
                <w:rFonts w:ascii="Tahoma" w:eastAsia="Times New Roman" w:hAnsi="Tahoma" w:cs="Tahoma"/>
                <w:sz w:val="23"/>
                <w:szCs w:val="23"/>
              </w:rPr>
              <w:t xml:space="preserve"> Consulting Group since 1985. He is MBA graduate of the Vienna University School of Economics and he also has studied at the Chinese University of Hong Kong and at Harvard Business School.</w:t>
            </w:r>
          </w:p>
        </w:tc>
      </w:tr>
      <w:tr w:rsidR="00241E70" w:rsidRPr="00241E70" w14:paraId="0576F664"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6F19E912"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b/>
                <w:bCs/>
                <w:sz w:val="23"/>
                <w:szCs w:val="23"/>
              </w:rPr>
              <w:lastRenderedPageBreak/>
              <w:t>Günter Wilhelm</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500F4A67"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Member of the Managing Board; responsible for top/top+ 1993-2001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75A63CCA"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Dr. Günter Wilhelm served as a Member of the Managing Board of Siemens AG from 1992 to 2001. He studied mechanical engineering at the University of Applied Sciences Friedberg, Germany. Following his studies, he joined Siemens-</w:t>
            </w:r>
            <w:proofErr w:type="spellStart"/>
            <w:r w:rsidRPr="00241E70">
              <w:rPr>
                <w:rFonts w:ascii="Tahoma" w:eastAsia="Times New Roman" w:hAnsi="Tahoma" w:cs="Tahoma"/>
                <w:sz w:val="23"/>
                <w:szCs w:val="23"/>
              </w:rPr>
              <w:t>Schuckert</w:t>
            </w:r>
            <w:proofErr w:type="spellEnd"/>
            <w:r w:rsidRPr="00241E70">
              <w:rPr>
                <w:rFonts w:ascii="Tahoma" w:eastAsia="Times New Roman" w:hAnsi="Tahoma" w:cs="Tahoma"/>
                <w:sz w:val="23"/>
                <w:szCs w:val="23"/>
              </w:rPr>
              <w:t>-Werke AG in 1958 as a project engineer. In 1974, he became head of a department in the energy division of Siemens AG. In 1978, he was promoted to area head in the same division. In 1988, he became deputy head of the division “E-Industry” and in 1989 was promoted to chair the managing board of the division “Automation”.</w:t>
            </w:r>
          </w:p>
        </w:tc>
      </w:tr>
      <w:tr w:rsidR="00241E70" w:rsidRPr="00241E70" w14:paraId="264BA137" w14:textId="77777777" w:rsidTr="00241E70">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FD7081C"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b/>
                <w:bCs/>
                <w:sz w:val="23"/>
                <w:szCs w:val="23"/>
              </w:rPr>
              <w:t xml:space="preserve">Klaus </w:t>
            </w:r>
            <w:proofErr w:type="spellStart"/>
            <w:r w:rsidRPr="00241E70">
              <w:rPr>
                <w:rFonts w:ascii="Tahoma" w:eastAsia="Times New Roman" w:hAnsi="Tahoma" w:cs="Tahoma"/>
                <w:b/>
                <w:bCs/>
                <w:sz w:val="23"/>
                <w:szCs w:val="23"/>
              </w:rPr>
              <w:t>Wucherer</w:t>
            </w:r>
            <w:proofErr w:type="spellEnd"/>
          </w:p>
        </w:tc>
        <w:tc>
          <w:tcPr>
            <w:tcW w:w="0" w:type="auto"/>
            <w:tcBorders>
              <w:top w:val="nil"/>
              <w:left w:val="nil"/>
              <w:bottom w:val="nil"/>
              <w:right w:val="single" w:sz="6" w:space="0" w:color="000000"/>
            </w:tcBorders>
            <w:shd w:val="clear" w:color="auto" w:fill="EEF7FC"/>
            <w:tcMar>
              <w:top w:w="105" w:type="dxa"/>
              <w:left w:w="105" w:type="dxa"/>
              <w:bottom w:w="105" w:type="dxa"/>
              <w:right w:w="105" w:type="dxa"/>
            </w:tcMar>
            <w:hideMark/>
          </w:tcPr>
          <w:p w14:paraId="375EF356"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Member of the Managing Board; responsible for top+ 2001-2007</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50AA09ED"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 xml:space="preserve">Prof. Dr-Ing. </w:t>
            </w:r>
            <w:proofErr w:type="spellStart"/>
            <w:r w:rsidRPr="00241E70">
              <w:rPr>
                <w:rFonts w:ascii="Tahoma" w:eastAsia="Times New Roman" w:hAnsi="Tahoma" w:cs="Tahoma"/>
                <w:sz w:val="23"/>
                <w:szCs w:val="23"/>
              </w:rPr>
              <w:t>Wucherer</w:t>
            </w:r>
            <w:proofErr w:type="spellEnd"/>
            <w:r w:rsidRPr="00241E70">
              <w:rPr>
                <w:rFonts w:ascii="Tahoma" w:eastAsia="Times New Roman" w:hAnsi="Tahoma" w:cs="Tahoma"/>
                <w:sz w:val="23"/>
                <w:szCs w:val="23"/>
              </w:rPr>
              <w:t xml:space="preserve"> served as an Executive Vice President of Siemens AG and its Member of the Managing Board from October 2000 to December 2007. </w:t>
            </w:r>
            <w:proofErr w:type="spellStart"/>
            <w:r w:rsidRPr="00241E70">
              <w:rPr>
                <w:rFonts w:ascii="Tahoma" w:eastAsia="Times New Roman" w:hAnsi="Tahoma" w:cs="Tahoma"/>
                <w:sz w:val="23"/>
                <w:szCs w:val="23"/>
              </w:rPr>
              <w:t>Wucherer</w:t>
            </w:r>
            <w:proofErr w:type="spellEnd"/>
            <w:r w:rsidRPr="00241E70">
              <w:rPr>
                <w:rFonts w:ascii="Tahoma" w:eastAsia="Times New Roman" w:hAnsi="Tahoma" w:cs="Tahoma"/>
                <w:sz w:val="23"/>
                <w:szCs w:val="23"/>
              </w:rPr>
              <w:t xml:space="preserve"> started his career with Siemens AG in the Bremen Regional Office, Germany, in 1970 and has held the following positions Technical Office, Osnabrück, Germany, since 1973, he served as Head of Controlled Three-phase </w:t>
            </w:r>
            <w:r w:rsidRPr="00241E70">
              <w:rPr>
                <w:rFonts w:ascii="Tahoma" w:eastAsia="Times New Roman" w:hAnsi="Tahoma" w:cs="Tahoma"/>
                <w:sz w:val="23"/>
                <w:szCs w:val="23"/>
              </w:rPr>
              <w:lastRenderedPageBreak/>
              <w:t xml:space="preserve">and DC Drives SIMATIC Department, Bremen Regional Office, since 1978, Head of Drives at SIMATIC, Process Control Computers Department, Bremen Regional Office, since 1983, Head of Systems Sales and Marketing Department at Siemens S.A., São Paulo, Brazil, from 1986 to 1996, Head of various Subdivisions and Divisions of the Energy and Automation Group in Nuremberg, Germany and Erlangen, Germany: Industrial Communications, Software House, Automation Systems for Machine Tools and Industrial Automation Systems SIMATIC, since 1996, Member of the Group Executive Management at Automation Group, Nuremberg, since 1998, President Automation and Drives Group since January 2003. </w:t>
            </w:r>
            <w:proofErr w:type="spellStart"/>
            <w:r w:rsidRPr="00241E70">
              <w:rPr>
                <w:rFonts w:ascii="Tahoma" w:eastAsia="Times New Roman" w:hAnsi="Tahoma" w:cs="Tahoma"/>
                <w:sz w:val="23"/>
                <w:szCs w:val="23"/>
              </w:rPr>
              <w:t>Wucherer</w:t>
            </w:r>
            <w:proofErr w:type="spellEnd"/>
            <w:r w:rsidRPr="00241E70">
              <w:rPr>
                <w:rFonts w:ascii="Tahoma" w:eastAsia="Times New Roman" w:hAnsi="Tahoma" w:cs="Tahoma"/>
                <w:sz w:val="23"/>
                <w:szCs w:val="23"/>
              </w:rPr>
              <w:t xml:space="preserve"> holds Honorary Professorships includes Technical University of Chemnitz (engineering) University of Applied Sciences.</w:t>
            </w:r>
          </w:p>
        </w:tc>
      </w:tr>
      <w:tr w:rsidR="00241E70" w:rsidRPr="00241E70" w14:paraId="102F8B27" w14:textId="77777777" w:rsidTr="00241E70">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3E7485D6"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b/>
                <w:bCs/>
                <w:sz w:val="23"/>
                <w:szCs w:val="23"/>
              </w:rPr>
              <w:lastRenderedPageBreak/>
              <w:t>Erich Reinhardt</w:t>
            </w:r>
          </w:p>
        </w:tc>
        <w:tc>
          <w:tcPr>
            <w:tcW w:w="0" w:type="auto"/>
            <w:tcBorders>
              <w:top w:val="nil"/>
              <w:left w:val="nil"/>
              <w:bottom w:val="nil"/>
              <w:right w:val="single" w:sz="6" w:space="0" w:color="000000"/>
            </w:tcBorders>
            <w:shd w:val="clear" w:color="auto" w:fill="FFFFFF"/>
            <w:tcMar>
              <w:top w:w="105" w:type="dxa"/>
              <w:left w:w="105" w:type="dxa"/>
              <w:bottom w:w="105" w:type="dxa"/>
              <w:right w:w="105" w:type="dxa"/>
            </w:tcMar>
            <w:hideMark/>
          </w:tcPr>
          <w:p w14:paraId="173F27D4"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Member of the Managing Board; responsible for top+ 2007-2008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6CE7B59F" w14:textId="77777777" w:rsidR="00241E70" w:rsidRPr="00241E70" w:rsidRDefault="00241E70" w:rsidP="00241E70">
            <w:pPr>
              <w:spacing w:after="0" w:line="240" w:lineRule="auto"/>
              <w:rPr>
                <w:rFonts w:ascii="Tahoma" w:eastAsia="Times New Roman" w:hAnsi="Tahoma" w:cs="Tahoma"/>
                <w:sz w:val="23"/>
                <w:szCs w:val="23"/>
              </w:rPr>
            </w:pPr>
            <w:r w:rsidRPr="00241E70">
              <w:rPr>
                <w:rFonts w:ascii="Tahoma" w:eastAsia="Times New Roman" w:hAnsi="Tahoma" w:cs="Tahoma"/>
                <w:sz w:val="23"/>
                <w:szCs w:val="23"/>
              </w:rPr>
              <w:t>Prof. Dr. Erich R. Reinhardt was a Member of the Managing Board of Siemens AG since December 2001. He served as the Head of Medical Solutions (Med). Prior to joining Siemens, he served as a Researcher of University of Stuttgart, Institute for Physical Electrical Engineering. In 1983, Reinhardt joined Siemens AG, Medical Engineering Group and his other positions at Siemens are Applications Development in Magnetic Resonance Tomography, Head of Department; since 1986, Magnetic Resonance Tomography Division’s Head; since 1990, Siemens Ltd. Bombay, India’s Managing Director; since 1994, Member of the Group Executive Management of the Medical Engineering Group; since April 1994, and President of the Medical Engineering Group. Reinhardt holds a degree in Electrical Engineering, a Doctorate, and Honorary Professorship from the University of Stuttgart.</w:t>
            </w:r>
          </w:p>
        </w:tc>
      </w:tr>
    </w:tbl>
    <w:p w14:paraId="0AFA0A59" w14:textId="77777777" w:rsidR="00241E70" w:rsidRPr="00241E70" w:rsidRDefault="00241E70" w:rsidP="00241E70">
      <w:pPr>
        <w:shd w:val="clear" w:color="auto" w:fill="FFFFFF"/>
        <w:spacing w:after="0" w:line="240" w:lineRule="auto"/>
        <w:rPr>
          <w:rFonts w:ascii="Cambria" w:eastAsia="Times New Roman" w:hAnsi="Cambria" w:cs="Times New Roman"/>
          <w:color w:val="575757"/>
          <w:sz w:val="27"/>
          <w:szCs w:val="27"/>
        </w:rPr>
      </w:pPr>
      <w:r w:rsidRPr="00241E70">
        <w:rPr>
          <w:rFonts w:ascii="Cambria" w:eastAsia="Times New Roman" w:hAnsi="Cambria" w:cs="Times New Roman"/>
          <w:noProof/>
          <w:color w:val="575757"/>
          <w:sz w:val="27"/>
          <w:szCs w:val="27"/>
        </w:rPr>
        <w:drawing>
          <wp:inline distT="0" distB="0" distL="0" distR="0" wp14:anchorId="25FEF29A" wp14:editId="40ADC3DB">
            <wp:extent cx="198120" cy="198120"/>
            <wp:effectExtent l="0" t="0" r="0" b="0"/>
            <wp:docPr id="54" name="Picture 54" descr="Enlar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Enlarge Tab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p>
    <w:p w14:paraId="356BAE22" w14:textId="77777777" w:rsidR="00241E70" w:rsidRPr="00241E70" w:rsidRDefault="00241E70" w:rsidP="00241E70">
      <w:pPr>
        <w:shd w:val="clear" w:color="auto" w:fill="FFFFFF"/>
        <w:spacing w:line="240" w:lineRule="auto"/>
        <w:rPr>
          <w:rFonts w:ascii="Cambria" w:eastAsia="Times New Roman" w:hAnsi="Cambria" w:cs="Times New Roman"/>
          <w:color w:val="575757"/>
          <w:sz w:val="27"/>
          <w:szCs w:val="27"/>
        </w:rPr>
      </w:pPr>
      <w:r w:rsidRPr="00241E70">
        <w:rPr>
          <w:rFonts w:ascii="Tahoma" w:eastAsia="Times New Roman" w:hAnsi="Tahoma" w:cs="Tahoma"/>
          <w:color w:val="575757"/>
        </w:rPr>
        <w:t>Source: www.siemens.com, www.businessweek.com.</w:t>
      </w:r>
    </w:p>
    <w:p w14:paraId="7F0411DC" w14:textId="77777777" w:rsidR="00241E70" w:rsidRPr="00241E70" w:rsidRDefault="00241E70" w:rsidP="00241E70">
      <w:pPr>
        <w:shd w:val="clear" w:color="auto" w:fill="FFFFFF"/>
        <w:spacing w:after="225" w:line="240" w:lineRule="auto"/>
        <w:ind w:left="975" w:right="975"/>
        <w:rPr>
          <w:rFonts w:ascii="Cambria" w:eastAsia="Times New Roman" w:hAnsi="Cambria" w:cs="Times New Roman"/>
          <w:color w:val="575757"/>
          <w:sz w:val="27"/>
          <w:szCs w:val="27"/>
        </w:rPr>
      </w:pPr>
      <w:r w:rsidRPr="00241E70">
        <w:rPr>
          <w:rFonts w:ascii="Cambria" w:eastAsia="Times New Roman" w:hAnsi="Cambria" w:cs="Times New Roman"/>
          <w:color w:val="575757"/>
          <w:sz w:val="27"/>
          <w:szCs w:val="27"/>
        </w:rPr>
        <w:lastRenderedPageBreak/>
        <w:t>Different operating groups of Siemens also confirmed the positive influence of the successful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implementation on performance. At Siemens Building Technologies in the Automation and Control Group,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was considered to substantially contribute to productivity. Indeed, the improved productivity was credited to the application of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tools for enhancing production processes and outsourcing certain areas.</w:t>
      </w:r>
      <w:r w:rsidRPr="00241E70">
        <w:rPr>
          <w:rFonts w:ascii="Cambria" w:eastAsia="Times New Roman" w:hAnsi="Cambria" w:cs="Times New Roman"/>
          <w:noProof/>
          <w:color w:val="007DB8"/>
          <w:sz w:val="27"/>
          <w:szCs w:val="27"/>
        </w:rPr>
        <w:drawing>
          <wp:inline distT="0" distB="0" distL="0" distR="0" wp14:anchorId="653F6E17" wp14:editId="4D6F57C6">
            <wp:extent cx="120650" cy="120650"/>
            <wp:effectExtent l="0" t="0" r="0" b="0"/>
            <wp:docPr id="55" name="Picture 55" descr="https://ng.cengage.com/static/nbapps/glossary/images/footstar.png">
              <a:hlinkClick xmlns:a="http://schemas.openxmlformats.org/drawingml/2006/main" r:id="rId13"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ng.cengage.com/static/nbapps/glossary/images/footstar.png">
                      <a:hlinkClick r:id="rId7"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Cambria" w:eastAsia="Times New Roman" w:hAnsi="Cambria" w:cs="Times New Roman"/>
          <w:color w:val="575757"/>
          <w:sz w:val="27"/>
          <w:szCs w:val="27"/>
        </w:rPr>
        <w:t> Here, the introduction of a new production-optimization system at a facility resulted in a 20 percent productivity increase.</w:t>
      </w:r>
      <w:bookmarkStart w:id="11" w:name="PageEnd_C-204"/>
      <w:bookmarkEnd w:id="11"/>
      <w:r w:rsidRPr="00241E70">
        <w:rPr>
          <w:rFonts w:ascii="Cambria" w:eastAsia="Times New Roman" w:hAnsi="Cambria" w:cs="Times New Roman"/>
          <w:color w:val="575757"/>
          <w:sz w:val="27"/>
          <w:szCs w:val="27"/>
        </w:rPr>
        <w:t xml:space="preserve"> A similar effect was present in other groups. For example, Wolfgang </w:t>
      </w:r>
      <w:proofErr w:type="spellStart"/>
      <w:r w:rsidRPr="00241E70">
        <w:rPr>
          <w:rFonts w:ascii="Cambria" w:eastAsia="Times New Roman" w:hAnsi="Cambria" w:cs="Times New Roman"/>
          <w:color w:val="575757"/>
          <w:sz w:val="27"/>
          <w:szCs w:val="27"/>
        </w:rPr>
        <w:t>Dehen</w:t>
      </w:r>
      <w:proofErr w:type="spellEnd"/>
      <w:r w:rsidRPr="00241E70">
        <w:rPr>
          <w:rFonts w:ascii="Cambria" w:eastAsia="Times New Roman" w:hAnsi="Cambria" w:cs="Times New Roman"/>
          <w:color w:val="575757"/>
          <w:sz w:val="27"/>
          <w:szCs w:val="27"/>
        </w:rPr>
        <w:t>, then Group President of Siemens VDO Automotive, remarked in 2002:</w:t>
      </w:r>
    </w:p>
    <w:p w14:paraId="5A2E1803" w14:textId="77777777" w:rsidR="00241E70" w:rsidRPr="00241E70" w:rsidRDefault="00241E70" w:rsidP="00241E70">
      <w:pPr>
        <w:shd w:val="clear" w:color="auto" w:fill="F1F1F1"/>
        <w:spacing w:line="240" w:lineRule="auto"/>
        <w:rPr>
          <w:rFonts w:ascii="Cambria" w:eastAsia="Times New Roman" w:hAnsi="Cambria" w:cs="Times New Roman"/>
          <w:i/>
          <w:iCs/>
          <w:color w:val="575757"/>
          <w:sz w:val="27"/>
          <w:szCs w:val="27"/>
        </w:rPr>
      </w:pPr>
      <w:r w:rsidRPr="00241E70">
        <w:rPr>
          <w:rFonts w:ascii="Cambria" w:eastAsia="Times New Roman" w:hAnsi="Cambria" w:cs="Times New Roman"/>
          <w:i/>
          <w:iCs/>
          <w:color w:val="575757"/>
          <w:sz w:val="27"/>
          <w:szCs w:val="27"/>
        </w:rPr>
        <w:t>“The rapid implementation of our top+ World Class Improvement Program has been decisive for our success. This initiative has helped us more closely align our development, production and administrative processes to customer needs. We have also increased our efficiency by reorganizing our production capacities worldwide.”</w:t>
      </w:r>
      <w:r w:rsidRPr="00241E70">
        <w:rPr>
          <w:rFonts w:ascii="Cambria" w:eastAsia="Times New Roman" w:hAnsi="Cambria" w:cs="Times New Roman"/>
          <w:i/>
          <w:iCs/>
          <w:noProof/>
          <w:color w:val="007DB8"/>
          <w:sz w:val="27"/>
          <w:szCs w:val="27"/>
        </w:rPr>
        <w:drawing>
          <wp:inline distT="0" distB="0" distL="0" distR="0" wp14:anchorId="43872497" wp14:editId="329390A5">
            <wp:extent cx="120650" cy="120650"/>
            <wp:effectExtent l="0" t="0" r="0" b="0"/>
            <wp:docPr id="56" name="Picture 56" descr="https://ng.cengage.com/static/nbapps/glossary/images/footstar.png">
              <a:hlinkClick xmlns:a="http://schemas.openxmlformats.org/drawingml/2006/main" r:id="rId12"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ng.cengage.com/static/nbapps/glossary/images/footstar.png">
                      <a:hlinkClick r:id="rId6"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355C04EE" w14:textId="77777777" w:rsidR="00241E70" w:rsidRPr="00241E70" w:rsidRDefault="00241E70" w:rsidP="00241E70">
      <w:pPr>
        <w:shd w:val="clear" w:color="auto" w:fill="FFFFFF"/>
        <w:spacing w:after="225" w:line="240" w:lineRule="auto"/>
        <w:ind w:left="975" w:right="975"/>
        <w:rPr>
          <w:rFonts w:ascii="Cambria" w:eastAsia="Times New Roman" w:hAnsi="Cambria" w:cs="Times New Roman"/>
          <w:color w:val="575757"/>
          <w:sz w:val="27"/>
          <w:szCs w:val="27"/>
        </w:rPr>
      </w:pPr>
      <w:r w:rsidRPr="00241E70">
        <w:rPr>
          <w:rFonts w:ascii="Cambria" w:eastAsia="Times New Roman" w:hAnsi="Cambria" w:cs="Times New Roman"/>
          <w:color w:val="575757"/>
          <w:sz w:val="27"/>
          <w:szCs w:val="27"/>
        </w:rPr>
        <w:t>Interestingly, Siemens’ top management categorized the business portfolio according to what extent the predefined margin ranges were met by the operating groups. By the end of fiscal 2004, Automation and Drives, Medical Solutions, Power Generation, Osram, Siemens VDO Automotive, Siemens Financial Services, and Power Transmission and Distribution “met or exceeded the margin targets agreed upon with the Managing Board, proving that sustainable success can be achieved by utilizing all the tools of our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management system”.</w:t>
      </w:r>
      <w:r w:rsidRPr="00241E70">
        <w:rPr>
          <w:rFonts w:ascii="Cambria" w:eastAsia="Times New Roman" w:hAnsi="Cambria" w:cs="Times New Roman"/>
          <w:noProof/>
          <w:color w:val="007DB8"/>
          <w:sz w:val="27"/>
          <w:szCs w:val="27"/>
        </w:rPr>
        <w:drawing>
          <wp:inline distT="0" distB="0" distL="0" distR="0" wp14:anchorId="6220D0F9" wp14:editId="1FFDC1CB">
            <wp:extent cx="120650" cy="120650"/>
            <wp:effectExtent l="0" t="0" r="0" b="0"/>
            <wp:docPr id="57" name="Picture 57" descr="https://ng.cengage.com/static/nbapps/glossary/images/footstar.png">
              <a:hlinkClick xmlns:a="http://schemas.openxmlformats.org/drawingml/2006/main" r:id="rId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ng.cengage.com/static/nbapps/glossary/images/footstar.png">
                      <a:hlinkClick r:id="rId11"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Pr="00241E70">
        <w:rPr>
          <w:rFonts w:ascii="Cambria" w:eastAsia="Times New Roman" w:hAnsi="Cambria" w:cs="Times New Roman"/>
          <w:color w:val="575757"/>
          <w:sz w:val="27"/>
          <w:szCs w:val="27"/>
        </w:rPr>
        <w:t> Unlike the operating groups in the first category, Transportation Systems, the Communications Group, and Siemens Business Services had failed to reach their margin targets by 2004. Siemens top management demanded from them a more rigorous application of the SMS facilitated by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program. Since the firm’s corporate strategy partly built upon synergy from vertically optimizing the portfolio, Siemens’ management regarded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xml:space="preserve"> program as critical for operational excellence and thus for superior firm performance. As von </w:t>
      </w:r>
      <w:proofErr w:type="spellStart"/>
      <w:r w:rsidRPr="00241E70">
        <w:rPr>
          <w:rFonts w:ascii="Cambria" w:eastAsia="Times New Roman" w:hAnsi="Cambria" w:cs="Times New Roman"/>
          <w:color w:val="575757"/>
          <w:sz w:val="27"/>
          <w:szCs w:val="27"/>
        </w:rPr>
        <w:t>Pierer</w:t>
      </w:r>
      <w:proofErr w:type="spellEnd"/>
      <w:r w:rsidRPr="00241E70">
        <w:rPr>
          <w:rFonts w:ascii="Cambria" w:eastAsia="Times New Roman" w:hAnsi="Cambria" w:cs="Times New Roman"/>
          <w:color w:val="575757"/>
          <w:sz w:val="27"/>
          <w:szCs w:val="27"/>
        </w:rPr>
        <w:t xml:space="preserve"> noted in 2002, those businesses in which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program did not lead to substantial future improvements (i.e., reach margin target ranges), would be restructured and potentially divested:</w:t>
      </w:r>
    </w:p>
    <w:p w14:paraId="2635F022" w14:textId="77777777" w:rsidR="00241E70" w:rsidRPr="00241E70" w:rsidRDefault="00241E70" w:rsidP="00241E70">
      <w:pPr>
        <w:shd w:val="clear" w:color="auto" w:fill="F1F1F1"/>
        <w:spacing w:line="240" w:lineRule="auto"/>
        <w:rPr>
          <w:rFonts w:ascii="Cambria" w:eastAsia="Times New Roman" w:hAnsi="Cambria" w:cs="Times New Roman"/>
          <w:i/>
          <w:iCs/>
          <w:color w:val="575757"/>
          <w:sz w:val="27"/>
          <w:szCs w:val="27"/>
        </w:rPr>
      </w:pPr>
      <w:r w:rsidRPr="00241E70">
        <w:rPr>
          <w:rFonts w:ascii="Cambria" w:eastAsia="Times New Roman" w:hAnsi="Cambria" w:cs="Times New Roman"/>
          <w:i/>
          <w:iCs/>
          <w:color w:val="575757"/>
          <w:sz w:val="27"/>
          <w:szCs w:val="27"/>
        </w:rPr>
        <w:lastRenderedPageBreak/>
        <w:t>“We remain committed to continuously improving our profitability – even beyond the margin targets we have defined. Where we cannot achieve this with our top+ business excellence tools alone, we will further adjust our portfolio.”</w:t>
      </w:r>
      <w:r w:rsidRPr="00241E70">
        <w:rPr>
          <w:rFonts w:ascii="Cambria" w:eastAsia="Times New Roman" w:hAnsi="Cambria" w:cs="Times New Roman"/>
          <w:i/>
          <w:iCs/>
          <w:noProof/>
          <w:color w:val="007DB8"/>
          <w:sz w:val="27"/>
          <w:szCs w:val="27"/>
        </w:rPr>
        <w:drawing>
          <wp:inline distT="0" distB="0" distL="0" distR="0" wp14:anchorId="65003A59" wp14:editId="54CB4B9C">
            <wp:extent cx="120650" cy="120650"/>
            <wp:effectExtent l="0" t="0" r="0" b="0"/>
            <wp:docPr id="58" name="Picture 58" descr="https://ng.cengage.com/static/nbapps/glossary/images/footstar.png">
              <a:hlinkClick xmlns:a="http://schemas.openxmlformats.org/drawingml/2006/main" r:id="rId1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ng.cengage.com/static/nbapps/glossary/images/footstar.png">
                      <a:hlinkClick r:id="rId10"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7E4A21BD" w14:textId="77777777" w:rsidR="00241E70" w:rsidRPr="00241E70" w:rsidRDefault="00241E70" w:rsidP="00241E70">
      <w:pPr>
        <w:shd w:val="clear" w:color="auto" w:fill="FFFFFF"/>
        <w:spacing w:after="225" w:line="240" w:lineRule="auto"/>
        <w:ind w:left="975" w:right="975"/>
        <w:rPr>
          <w:rFonts w:ascii="Cambria" w:eastAsia="Times New Roman" w:hAnsi="Cambria" w:cs="Times New Roman"/>
          <w:color w:val="575757"/>
          <w:sz w:val="27"/>
          <w:szCs w:val="27"/>
        </w:rPr>
      </w:pPr>
      <w:r w:rsidRPr="00241E70">
        <w:rPr>
          <w:rFonts w:ascii="Cambria" w:eastAsia="Times New Roman" w:hAnsi="Cambria" w:cs="Times New Roman"/>
          <w:color w:val="575757"/>
          <w:sz w:val="27"/>
          <w:szCs w:val="27"/>
        </w:rPr>
        <w:t>A further benefit of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program was that it strongly facilitated the integration of acquired businesses. As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also provided a platform on how Siemens understands “doing business”, the acquired businesses had the</w:t>
      </w:r>
      <w:bookmarkStart w:id="12" w:name="PageEnd_C-205"/>
      <w:bookmarkStart w:id="13" w:name="PageEnd_C-206"/>
      <w:bookmarkEnd w:id="12"/>
      <w:bookmarkEnd w:id="13"/>
      <w:r w:rsidRPr="00241E70">
        <w:rPr>
          <w:rFonts w:ascii="Cambria" w:eastAsia="Times New Roman" w:hAnsi="Cambria" w:cs="Times New Roman"/>
          <w:color w:val="575757"/>
          <w:sz w:val="27"/>
          <w:szCs w:val="27"/>
        </w:rPr>
        <w:t> opportunity to openly and continuously reflect its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7"/>
          <w:szCs w:val="27"/>
        </w:rPr>
        <w:t>+ offered Siemens the opportunity to assess the processes, tools etc. of the acquired businesses and to adopt suitable best practices from them within the overall firm.</w:t>
      </w:r>
      <w:r w:rsidRPr="00241E70">
        <w:rPr>
          <w:rFonts w:ascii="Cambria" w:eastAsia="Times New Roman" w:hAnsi="Cambria" w:cs="Times New Roman"/>
          <w:noProof/>
          <w:color w:val="007DB8"/>
          <w:sz w:val="27"/>
          <w:szCs w:val="27"/>
        </w:rPr>
        <w:drawing>
          <wp:inline distT="0" distB="0" distL="0" distR="0" wp14:anchorId="1620935D" wp14:editId="7AC21BA4">
            <wp:extent cx="120650" cy="120650"/>
            <wp:effectExtent l="0" t="0" r="0" b="0"/>
            <wp:docPr id="59" name="Picture 59" descr="https://ng.cengage.com/static/nbapps/glossary/images/footstar.png">
              <a:hlinkClick xmlns:a="http://schemas.openxmlformats.org/drawingml/2006/main" r:id="rId9"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ng.cengage.com/static/nbapps/glossary/images/footstar.png">
                      <a:hlinkClick r:id="rId8"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7CFD443F" w14:textId="77777777" w:rsidR="00241E70" w:rsidRPr="00241E70" w:rsidRDefault="00241E70" w:rsidP="00241E70">
      <w:pPr>
        <w:shd w:val="clear" w:color="auto" w:fill="FFFFFF"/>
        <w:spacing w:after="225" w:line="240" w:lineRule="auto"/>
        <w:ind w:left="975" w:right="975"/>
        <w:rPr>
          <w:rFonts w:ascii="Cambria" w:eastAsia="Times New Roman" w:hAnsi="Cambria" w:cs="Times New Roman"/>
          <w:color w:val="575757"/>
          <w:sz w:val="27"/>
          <w:szCs w:val="27"/>
        </w:rPr>
      </w:pPr>
      <w:r w:rsidRPr="00241E70">
        <w:rPr>
          <w:rFonts w:ascii="Cambria" w:eastAsia="Times New Roman" w:hAnsi="Cambria" w:cs="Times New Roman"/>
          <w:color w:val="575757"/>
          <w:sz w:val="27"/>
          <w:szCs w:val="27"/>
        </w:rPr>
        <w:t>While the implementation of entire sub-programs of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enhanced overall firm performance, the contributions of applying single management tools of the </w:t>
      </w:r>
      <w:r w:rsidRPr="00241E70">
        <w:rPr>
          <w:rFonts w:ascii="Cambria" w:eastAsia="Times New Roman" w:hAnsi="Cambria" w:cs="Times New Roman"/>
          <w:i/>
          <w:iCs/>
          <w:color w:val="575757"/>
          <w:sz w:val="27"/>
          <w:szCs w:val="27"/>
        </w:rPr>
        <w:t>top</w:t>
      </w:r>
      <w:r w:rsidRPr="00241E70">
        <w:rPr>
          <w:rFonts w:ascii="Cambria" w:eastAsia="Times New Roman" w:hAnsi="Cambria" w:cs="Times New Roman"/>
          <w:color w:val="575757"/>
          <w:sz w:val="20"/>
          <w:szCs w:val="20"/>
          <w:vertAlign w:val="superscript"/>
        </w:rPr>
        <w:t>+</w:t>
      </w:r>
      <w:r w:rsidRPr="00241E70">
        <w:rPr>
          <w:rFonts w:ascii="Cambria" w:eastAsia="Times New Roman" w:hAnsi="Cambria" w:cs="Times New Roman"/>
          <w:color w:val="575757"/>
          <w:sz w:val="27"/>
          <w:szCs w:val="27"/>
        </w:rPr>
        <w:t xml:space="preserve"> “tool-kit” were also substantial. For example, in the firm’s 2004 annual report, von </w:t>
      </w:r>
      <w:proofErr w:type="spellStart"/>
      <w:r w:rsidRPr="00241E70">
        <w:rPr>
          <w:rFonts w:ascii="Cambria" w:eastAsia="Times New Roman" w:hAnsi="Cambria" w:cs="Times New Roman"/>
          <w:color w:val="575757"/>
          <w:sz w:val="27"/>
          <w:szCs w:val="27"/>
        </w:rPr>
        <w:t>Pierer</w:t>
      </w:r>
      <w:proofErr w:type="spellEnd"/>
      <w:r w:rsidRPr="00241E70">
        <w:rPr>
          <w:rFonts w:ascii="Cambria" w:eastAsia="Times New Roman" w:hAnsi="Cambria" w:cs="Times New Roman"/>
          <w:color w:val="575757"/>
          <w:sz w:val="27"/>
          <w:szCs w:val="27"/>
        </w:rPr>
        <w:t xml:space="preserve"> stated the following in reference to the tool asset management:</w:t>
      </w:r>
    </w:p>
    <w:p w14:paraId="1B301701" w14:textId="77777777" w:rsidR="00241E70" w:rsidRPr="00241E70" w:rsidRDefault="00241E70" w:rsidP="00241E70">
      <w:pPr>
        <w:shd w:val="clear" w:color="auto" w:fill="F1F1F1"/>
        <w:spacing w:line="240" w:lineRule="auto"/>
        <w:rPr>
          <w:rFonts w:ascii="Cambria" w:eastAsia="Times New Roman" w:hAnsi="Cambria" w:cs="Times New Roman"/>
          <w:i/>
          <w:iCs/>
          <w:color w:val="575757"/>
          <w:sz w:val="27"/>
          <w:szCs w:val="27"/>
        </w:rPr>
      </w:pPr>
      <w:r w:rsidRPr="00241E70">
        <w:rPr>
          <w:rFonts w:ascii="Cambria" w:eastAsia="Times New Roman" w:hAnsi="Cambria" w:cs="Times New Roman"/>
          <w:i/>
          <w:iCs/>
          <w:color w:val="575757"/>
          <w:sz w:val="27"/>
          <w:szCs w:val="27"/>
        </w:rPr>
        <w:t>“Cash flow development, which has been positive in each of the past four years, was again very gratifying. Net cash from operating and investing activities totaled €3.3 billion. Our managers have learned the art of professional asset management. Strong cash flow is giving us the entrepreneurial leeway we need for targeted strategic moves.”</w:t>
      </w:r>
      <w:r w:rsidRPr="00241E70">
        <w:rPr>
          <w:rFonts w:ascii="Cambria" w:eastAsia="Times New Roman" w:hAnsi="Cambria" w:cs="Times New Roman"/>
          <w:i/>
          <w:iCs/>
          <w:noProof/>
          <w:color w:val="007DB8"/>
          <w:sz w:val="27"/>
          <w:szCs w:val="27"/>
        </w:rPr>
        <w:drawing>
          <wp:inline distT="0" distB="0" distL="0" distR="0" wp14:anchorId="03AB6003" wp14:editId="608F0943">
            <wp:extent cx="120650" cy="120650"/>
            <wp:effectExtent l="0" t="0" r="0" b="0"/>
            <wp:docPr id="60" name="Picture 60" descr="https://ng.cengage.com/static/nbapps/glossary/images/footstar.png">
              <a:hlinkClick xmlns:a="http://schemas.openxmlformats.org/drawingml/2006/main" r:id="rId13"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ng.cengage.com/static/nbapps/glossary/images/footstar.png">
                      <a:hlinkClick r:id="rId7"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p>
    <w:p w14:paraId="1EEF4D6B" w14:textId="77777777" w:rsidR="00241E70" w:rsidRPr="00241E70" w:rsidRDefault="00241E70" w:rsidP="00241E70">
      <w:pPr>
        <w:shd w:val="clear" w:color="auto" w:fill="FFFFFF"/>
        <w:spacing w:before="100" w:beforeAutospacing="1" w:after="100" w:afterAutospacing="1" w:line="240" w:lineRule="auto"/>
        <w:outlineLvl w:val="0"/>
        <w:rPr>
          <w:rFonts w:ascii="Helvetica" w:eastAsia="Times New Roman" w:hAnsi="Helvetica" w:cs="Helvetica"/>
          <w:b/>
          <w:bCs/>
          <w:color w:val="3F3F3F"/>
          <w:kern w:val="36"/>
          <w:sz w:val="35"/>
          <w:szCs w:val="35"/>
        </w:rPr>
      </w:pPr>
      <w:r w:rsidRPr="00241E70">
        <w:rPr>
          <w:rFonts w:ascii="Helvetica" w:eastAsia="Times New Roman" w:hAnsi="Helvetica" w:cs="Helvetica"/>
          <w:b/>
          <w:bCs/>
          <w:color w:val="3F3F3F"/>
          <w:kern w:val="36"/>
          <w:sz w:val="35"/>
          <w:szCs w:val="35"/>
        </w:rPr>
        <w:t xml:space="preserve">15-4 The Future of Management Innovation </w:t>
      </w:r>
      <w:proofErr w:type="gramStart"/>
      <w:r w:rsidRPr="00241E70">
        <w:rPr>
          <w:rFonts w:ascii="Helvetica" w:eastAsia="Times New Roman" w:hAnsi="Helvetica" w:cs="Helvetica"/>
          <w:b/>
          <w:bCs/>
          <w:color w:val="3F3F3F"/>
          <w:kern w:val="36"/>
          <w:sz w:val="35"/>
          <w:szCs w:val="35"/>
        </w:rPr>
        <w:t>At</w:t>
      </w:r>
      <w:proofErr w:type="gramEnd"/>
      <w:r w:rsidRPr="00241E70">
        <w:rPr>
          <w:rFonts w:ascii="Helvetica" w:eastAsia="Times New Roman" w:hAnsi="Helvetica" w:cs="Helvetica"/>
          <w:b/>
          <w:bCs/>
          <w:color w:val="3F3F3F"/>
          <w:kern w:val="36"/>
          <w:sz w:val="35"/>
          <w:szCs w:val="35"/>
        </w:rPr>
        <w:t xml:space="preserve"> Siemens</w:t>
      </w:r>
    </w:p>
    <w:p w14:paraId="5D79C35B"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r w:rsidRPr="00241E70">
        <w:rPr>
          <w:rFonts w:ascii="Helvetica" w:eastAsia="Times New Roman" w:hAnsi="Helvetica" w:cs="Helvetica"/>
          <w:color w:val="3F3F3F"/>
          <w:sz w:val="23"/>
          <w:szCs w:val="23"/>
        </w:rPr>
        <w:t>While technological and product innovation have always played central roles at Siemens, management innovation appears to be critical for future success, too. As this case study illustrates, a distinct form of vertical optimization is management innovation performed with support by the corporate level. Synergy may result not only from leveraging tools to individual operating groups, but also from the development of superior capabilities. Although the firm’s corporate center was repeatedly restructured during the period from 1998 to 2007, the case suggests that corporate development and corporate-level programs aiming at management innovation will always remain important for the firm’s overall value creation. In 2007, Siemens top management team decided to continue the efforts of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program as part of the updated corporate program Fit</w:t>
      </w:r>
      <w:r w:rsidRPr="00241E70">
        <w:rPr>
          <w:rFonts w:ascii="Helvetica" w:eastAsia="Times New Roman" w:hAnsi="Helvetica" w:cs="Helvetica"/>
          <w:i/>
          <w:iCs/>
          <w:color w:val="3F3F3F"/>
          <w:sz w:val="23"/>
          <w:szCs w:val="23"/>
        </w:rPr>
        <w:t>4</w:t>
      </w:r>
      <w:r w:rsidRPr="00241E70">
        <w:rPr>
          <w:rFonts w:ascii="Helvetica" w:eastAsia="Times New Roman" w:hAnsi="Helvetica" w:cs="Helvetica"/>
          <w:color w:val="3F3F3F"/>
          <w:sz w:val="23"/>
          <w:szCs w:val="23"/>
        </w:rPr>
        <w:t>2010. Because of its past contribution to operational excellence and thus firm performance and because of the increasing present and future importance of innovative management,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xml:space="preserve"> is likely to constitute an integral part of future corporate programs, even beyond 2010. Indeed, current CEO Peter </w:t>
      </w:r>
      <w:proofErr w:type="spellStart"/>
      <w:r w:rsidRPr="00241E70">
        <w:rPr>
          <w:rFonts w:ascii="Helvetica" w:eastAsia="Times New Roman" w:hAnsi="Helvetica" w:cs="Helvetica"/>
          <w:color w:val="3F3F3F"/>
          <w:sz w:val="23"/>
          <w:szCs w:val="23"/>
        </w:rPr>
        <w:t>Löscher</w:t>
      </w:r>
      <w:proofErr w:type="spellEnd"/>
      <w:r w:rsidRPr="00241E70">
        <w:rPr>
          <w:rFonts w:ascii="Helvetica" w:eastAsia="Times New Roman" w:hAnsi="Helvetica" w:cs="Helvetica"/>
          <w:color w:val="3F3F3F"/>
          <w:sz w:val="23"/>
          <w:szCs w:val="23"/>
        </w:rPr>
        <w:t>, an executive with extensive management experience at GE, wants to strengthen the efforts of Siemens in management innovation and operational excellence with the </w:t>
      </w:r>
      <w:r w:rsidRPr="00241E70">
        <w:rPr>
          <w:rFonts w:ascii="Helvetica" w:eastAsia="Times New Roman" w:hAnsi="Helvetica" w:cs="Helvetica"/>
          <w:i/>
          <w:iCs/>
          <w:color w:val="3F3F3F"/>
          <w:sz w:val="23"/>
          <w:szCs w:val="23"/>
        </w:rPr>
        <w:t>top</w:t>
      </w:r>
      <w:r w:rsidRPr="00241E70">
        <w:rPr>
          <w:rFonts w:ascii="Helvetica" w:eastAsia="Times New Roman" w:hAnsi="Helvetica" w:cs="Helvetica"/>
          <w:color w:val="3F3F3F"/>
          <w:sz w:val="23"/>
          <w:szCs w:val="23"/>
          <w:vertAlign w:val="superscript"/>
        </w:rPr>
        <w:t>+</w:t>
      </w:r>
      <w:r w:rsidRPr="00241E70">
        <w:rPr>
          <w:rFonts w:ascii="Helvetica" w:eastAsia="Times New Roman" w:hAnsi="Helvetica" w:cs="Helvetica"/>
          <w:color w:val="3F3F3F"/>
          <w:sz w:val="23"/>
          <w:szCs w:val="23"/>
        </w:rPr>
        <w:t> program.</w:t>
      </w:r>
    </w:p>
    <w:p w14:paraId="234870D2"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0"/>
          <w:szCs w:val="20"/>
        </w:rPr>
      </w:pPr>
      <w:bookmarkStart w:id="14" w:name="PageEnd_C-207"/>
      <w:bookmarkEnd w:id="14"/>
      <w:r w:rsidRPr="00241E70">
        <w:rPr>
          <w:rFonts w:ascii="Helvetica" w:eastAsia="Times New Roman" w:hAnsi="Helvetica" w:cs="Helvetica"/>
          <w:color w:val="3F3F3F"/>
          <w:sz w:val="20"/>
          <w:szCs w:val="20"/>
        </w:rPr>
        <w:lastRenderedPageBreak/>
        <w:t xml:space="preserve">This case was prepared by Dr. Markus </w:t>
      </w:r>
      <w:proofErr w:type="spellStart"/>
      <w:r w:rsidRPr="00241E70">
        <w:rPr>
          <w:rFonts w:ascii="Helvetica" w:eastAsia="Times New Roman" w:hAnsi="Helvetica" w:cs="Helvetica"/>
          <w:color w:val="3F3F3F"/>
          <w:sz w:val="20"/>
          <w:szCs w:val="20"/>
        </w:rPr>
        <w:t>Menz</w:t>
      </w:r>
      <w:proofErr w:type="spellEnd"/>
      <w:r w:rsidRPr="00241E70">
        <w:rPr>
          <w:rFonts w:ascii="Helvetica" w:eastAsia="Times New Roman" w:hAnsi="Helvetica" w:cs="Helvetica"/>
          <w:color w:val="3F3F3F"/>
          <w:sz w:val="20"/>
          <w:szCs w:val="20"/>
        </w:rPr>
        <w:t xml:space="preserve"> and Professor Dr. Günter Müller-</w:t>
      </w:r>
      <w:proofErr w:type="spellStart"/>
      <w:r w:rsidRPr="00241E70">
        <w:rPr>
          <w:rFonts w:ascii="Helvetica" w:eastAsia="Times New Roman" w:hAnsi="Helvetica" w:cs="Helvetica"/>
          <w:color w:val="3F3F3F"/>
          <w:sz w:val="20"/>
          <w:szCs w:val="20"/>
        </w:rPr>
        <w:t>Stewens</w:t>
      </w:r>
      <w:proofErr w:type="spellEnd"/>
      <w:r w:rsidRPr="00241E70">
        <w:rPr>
          <w:rFonts w:ascii="Helvetica" w:eastAsia="Times New Roman" w:hAnsi="Helvetica" w:cs="Helvetica"/>
          <w:color w:val="3F3F3F"/>
          <w:sz w:val="20"/>
          <w:szCs w:val="20"/>
        </w:rPr>
        <w:t>, Institute of Management, University of St. Gallen, Switzerland. Its objective is to illustrate a corporate-level management innovation program. It is intended to be used as the basis for class discussion rather than to illustrate either effective or ineffective handling of a management situation. Our information sources included interviews with Siemens management as well as publicly available corporate information (annual reports 1993-2008, presentations, press releases, websites of Siemens AG and its subsidiaries) and press articles. We would like to thank Siemens AG for the support. This case was written with the support of a Philip Law Scholarship by the European Case Clearing House (ECCH).</w:t>
      </w:r>
    </w:p>
    <w:p w14:paraId="2D1CFE4F"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0"/>
          <w:szCs w:val="20"/>
        </w:rPr>
      </w:pPr>
      <w:r w:rsidRPr="00241E70">
        <w:rPr>
          <w:rFonts w:ascii="Helvetica" w:eastAsia="Times New Roman" w:hAnsi="Helvetica" w:cs="Helvetica"/>
          <w:color w:val="3F3F3F"/>
          <w:sz w:val="20"/>
          <w:szCs w:val="20"/>
        </w:rPr>
        <w:t>Copyright © 2010, University of St. Gallen, Switzerland. All rights reserved. No part of this publication may be copied, stored, transmitted, reproduced or distributed in any form or medium whatsoever without the permission of the copyright owner.</w:t>
      </w:r>
    </w:p>
    <w:p w14:paraId="4C54E441" w14:textId="77777777" w:rsidR="00241E70" w:rsidRPr="00241E70" w:rsidRDefault="00241E70" w:rsidP="00241E70">
      <w:pPr>
        <w:shd w:val="clear" w:color="auto" w:fill="FFFFFF"/>
        <w:spacing w:after="225" w:line="240" w:lineRule="auto"/>
        <w:rPr>
          <w:rFonts w:ascii="Helvetica" w:eastAsia="Times New Roman" w:hAnsi="Helvetica" w:cs="Helvetica"/>
          <w:color w:val="3F3F3F"/>
          <w:sz w:val="23"/>
          <w:szCs w:val="23"/>
        </w:rPr>
      </w:pPr>
    </w:p>
    <w:p w14:paraId="6FC57D5C" w14:textId="77777777" w:rsidR="00241E70" w:rsidRPr="00241E70" w:rsidRDefault="00241E70" w:rsidP="00241E70">
      <w:pPr>
        <w:shd w:val="clear" w:color="auto" w:fill="FFFFFF"/>
        <w:spacing w:line="240" w:lineRule="auto"/>
        <w:rPr>
          <w:rFonts w:ascii="Helvetica" w:eastAsia="Times New Roman" w:hAnsi="Helvetica" w:cs="Helvetica"/>
          <w:color w:val="3F3F3F"/>
          <w:sz w:val="23"/>
          <w:szCs w:val="23"/>
        </w:rPr>
      </w:pPr>
    </w:p>
    <w:p w14:paraId="066713E8" w14:textId="77777777" w:rsidR="00241E70" w:rsidRPr="00C65D8A" w:rsidRDefault="00241E70" w:rsidP="00C65D8A">
      <w:pPr>
        <w:shd w:val="clear" w:color="auto" w:fill="FFFFFF"/>
        <w:spacing w:after="225" w:line="240" w:lineRule="auto"/>
        <w:rPr>
          <w:rFonts w:ascii="Helvetica" w:eastAsia="Times New Roman" w:hAnsi="Helvetica" w:cs="Helvetica"/>
          <w:color w:val="3F3F3F"/>
          <w:sz w:val="23"/>
          <w:szCs w:val="23"/>
        </w:rPr>
      </w:pPr>
    </w:p>
    <w:p w14:paraId="3B736AE5" w14:textId="77777777" w:rsidR="00A16CA0" w:rsidRDefault="00BD6679"/>
    <w:sectPr w:rsidR="00A16C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D8A"/>
    <w:rsid w:val="00150901"/>
    <w:rsid w:val="00241E70"/>
    <w:rsid w:val="005A18DF"/>
    <w:rsid w:val="00BD6679"/>
    <w:rsid w:val="00C65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FA5C8"/>
  <w15:chartTrackingRefBased/>
  <w15:docId w15:val="{E3C832CB-3F09-448A-9AF0-79D4374D5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1E7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41E7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41E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E7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41E7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241E7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9543058">
      <w:bodyDiv w:val="1"/>
      <w:marLeft w:val="0"/>
      <w:marRight w:val="0"/>
      <w:marTop w:val="0"/>
      <w:marBottom w:val="0"/>
      <w:divBdr>
        <w:top w:val="none" w:sz="0" w:space="0" w:color="auto"/>
        <w:left w:val="none" w:sz="0" w:space="0" w:color="auto"/>
        <w:bottom w:val="none" w:sz="0" w:space="0" w:color="auto"/>
        <w:right w:val="none" w:sz="0" w:space="0" w:color="auto"/>
      </w:divBdr>
      <w:divsChild>
        <w:div w:id="1847819552">
          <w:marLeft w:val="0"/>
          <w:marRight w:val="0"/>
          <w:marTop w:val="0"/>
          <w:marBottom w:val="180"/>
          <w:divBdr>
            <w:top w:val="none" w:sz="0" w:space="0" w:color="auto"/>
            <w:left w:val="none" w:sz="0" w:space="0" w:color="auto"/>
            <w:bottom w:val="none" w:sz="0" w:space="0" w:color="auto"/>
            <w:right w:val="none" w:sz="0" w:space="0" w:color="auto"/>
          </w:divBdr>
        </w:div>
        <w:div w:id="1925450660">
          <w:marLeft w:val="0"/>
          <w:marRight w:val="0"/>
          <w:marTop w:val="0"/>
          <w:marBottom w:val="1800"/>
          <w:divBdr>
            <w:top w:val="none" w:sz="0" w:space="0" w:color="auto"/>
            <w:left w:val="none" w:sz="0" w:space="0" w:color="auto"/>
            <w:bottom w:val="none" w:sz="0" w:space="0" w:color="auto"/>
            <w:right w:val="none" w:sz="0" w:space="0" w:color="auto"/>
          </w:divBdr>
        </w:div>
      </w:divsChild>
    </w:div>
    <w:div w:id="861940546">
      <w:bodyDiv w:val="1"/>
      <w:marLeft w:val="0"/>
      <w:marRight w:val="0"/>
      <w:marTop w:val="0"/>
      <w:marBottom w:val="0"/>
      <w:divBdr>
        <w:top w:val="none" w:sz="0" w:space="0" w:color="auto"/>
        <w:left w:val="none" w:sz="0" w:space="0" w:color="auto"/>
        <w:bottom w:val="none" w:sz="0" w:space="0" w:color="auto"/>
        <w:right w:val="none" w:sz="0" w:space="0" w:color="auto"/>
      </w:divBdr>
      <w:divsChild>
        <w:div w:id="2029327358">
          <w:marLeft w:val="0"/>
          <w:marRight w:val="0"/>
          <w:marTop w:val="0"/>
          <w:marBottom w:val="0"/>
          <w:divBdr>
            <w:top w:val="none" w:sz="0" w:space="0" w:color="auto"/>
            <w:left w:val="none" w:sz="0" w:space="0" w:color="auto"/>
            <w:bottom w:val="none" w:sz="0" w:space="0" w:color="auto"/>
            <w:right w:val="none" w:sz="0" w:space="0" w:color="auto"/>
          </w:divBdr>
        </w:div>
        <w:div w:id="1972469723">
          <w:marLeft w:val="0"/>
          <w:marRight w:val="0"/>
          <w:marTop w:val="0"/>
          <w:marBottom w:val="0"/>
          <w:divBdr>
            <w:top w:val="none" w:sz="0" w:space="0" w:color="auto"/>
            <w:left w:val="none" w:sz="0" w:space="0" w:color="auto"/>
            <w:bottom w:val="none" w:sz="0" w:space="0" w:color="auto"/>
            <w:right w:val="none" w:sz="0" w:space="0" w:color="auto"/>
          </w:divBdr>
          <w:divsChild>
            <w:div w:id="2005429618">
              <w:marLeft w:val="0"/>
              <w:marRight w:val="0"/>
              <w:marTop w:val="0"/>
              <w:marBottom w:val="180"/>
              <w:divBdr>
                <w:top w:val="none" w:sz="0" w:space="0" w:color="auto"/>
                <w:left w:val="none" w:sz="0" w:space="0" w:color="auto"/>
                <w:bottom w:val="none" w:sz="0" w:space="0" w:color="auto"/>
                <w:right w:val="none" w:sz="0" w:space="0" w:color="auto"/>
              </w:divBdr>
            </w:div>
            <w:div w:id="2140831534">
              <w:marLeft w:val="0"/>
              <w:marRight w:val="0"/>
              <w:marTop w:val="0"/>
              <w:marBottom w:val="180"/>
              <w:divBdr>
                <w:top w:val="none" w:sz="0" w:space="0" w:color="auto"/>
                <w:left w:val="none" w:sz="0" w:space="0" w:color="auto"/>
                <w:bottom w:val="none" w:sz="0" w:space="0" w:color="auto"/>
                <w:right w:val="none" w:sz="0" w:space="0" w:color="auto"/>
              </w:divBdr>
              <w:divsChild>
                <w:div w:id="768743182">
                  <w:marLeft w:val="0"/>
                  <w:marRight w:val="0"/>
                  <w:marTop w:val="0"/>
                  <w:marBottom w:val="180"/>
                  <w:divBdr>
                    <w:top w:val="none" w:sz="0" w:space="0" w:color="auto"/>
                    <w:left w:val="none" w:sz="0" w:space="0" w:color="auto"/>
                    <w:bottom w:val="none" w:sz="0" w:space="0" w:color="auto"/>
                    <w:right w:val="none" w:sz="0" w:space="0" w:color="auto"/>
                  </w:divBdr>
                  <w:divsChild>
                    <w:div w:id="1996445800">
                      <w:marLeft w:val="0"/>
                      <w:marRight w:val="0"/>
                      <w:marTop w:val="0"/>
                      <w:marBottom w:val="180"/>
                      <w:divBdr>
                        <w:top w:val="none" w:sz="0" w:space="0" w:color="auto"/>
                        <w:left w:val="none" w:sz="0" w:space="0" w:color="auto"/>
                        <w:bottom w:val="none" w:sz="0" w:space="0" w:color="auto"/>
                        <w:right w:val="none" w:sz="0" w:space="0" w:color="auto"/>
                      </w:divBdr>
                      <w:divsChild>
                        <w:div w:id="1738161298">
                          <w:marLeft w:val="0"/>
                          <w:marRight w:val="0"/>
                          <w:marTop w:val="0"/>
                          <w:marBottom w:val="150"/>
                          <w:divBdr>
                            <w:top w:val="none" w:sz="0" w:space="0" w:color="auto"/>
                            <w:left w:val="none" w:sz="0" w:space="0" w:color="auto"/>
                            <w:bottom w:val="none" w:sz="0" w:space="0" w:color="auto"/>
                            <w:right w:val="none" w:sz="0" w:space="0" w:color="auto"/>
                          </w:divBdr>
                        </w:div>
                        <w:div w:id="8901138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77883401">
              <w:marLeft w:val="0"/>
              <w:marRight w:val="0"/>
              <w:marTop w:val="0"/>
              <w:marBottom w:val="180"/>
              <w:divBdr>
                <w:top w:val="none" w:sz="0" w:space="0" w:color="auto"/>
                <w:left w:val="none" w:sz="0" w:space="0" w:color="auto"/>
                <w:bottom w:val="none" w:sz="0" w:space="0" w:color="auto"/>
                <w:right w:val="none" w:sz="0" w:space="0" w:color="auto"/>
              </w:divBdr>
            </w:div>
            <w:div w:id="1538734122">
              <w:marLeft w:val="0"/>
              <w:marRight w:val="0"/>
              <w:marTop w:val="0"/>
              <w:marBottom w:val="180"/>
              <w:divBdr>
                <w:top w:val="none" w:sz="0" w:space="0" w:color="auto"/>
                <w:left w:val="none" w:sz="0" w:space="0" w:color="auto"/>
                <w:bottom w:val="none" w:sz="0" w:space="0" w:color="auto"/>
                <w:right w:val="none" w:sz="0" w:space="0" w:color="auto"/>
              </w:divBdr>
            </w:div>
            <w:div w:id="7416339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1339234055">
      <w:bodyDiv w:val="1"/>
      <w:marLeft w:val="0"/>
      <w:marRight w:val="0"/>
      <w:marTop w:val="0"/>
      <w:marBottom w:val="0"/>
      <w:divBdr>
        <w:top w:val="none" w:sz="0" w:space="0" w:color="auto"/>
        <w:left w:val="none" w:sz="0" w:space="0" w:color="auto"/>
        <w:bottom w:val="none" w:sz="0" w:space="0" w:color="auto"/>
        <w:right w:val="none" w:sz="0" w:space="0" w:color="auto"/>
      </w:divBdr>
      <w:divsChild>
        <w:div w:id="1812794727">
          <w:marLeft w:val="0"/>
          <w:marRight w:val="0"/>
          <w:marTop w:val="0"/>
          <w:marBottom w:val="180"/>
          <w:divBdr>
            <w:top w:val="none" w:sz="0" w:space="0" w:color="auto"/>
            <w:left w:val="none" w:sz="0" w:space="0" w:color="auto"/>
            <w:bottom w:val="none" w:sz="0" w:space="0" w:color="auto"/>
            <w:right w:val="none" w:sz="0" w:space="0" w:color="auto"/>
          </w:divBdr>
        </w:div>
        <w:div w:id="556163321">
          <w:marLeft w:val="0"/>
          <w:marRight w:val="0"/>
          <w:marTop w:val="0"/>
          <w:marBottom w:val="1800"/>
          <w:divBdr>
            <w:top w:val="none" w:sz="0" w:space="0" w:color="auto"/>
            <w:left w:val="none" w:sz="0" w:space="0" w:color="auto"/>
            <w:bottom w:val="none" w:sz="0" w:space="0" w:color="auto"/>
            <w:right w:val="none" w:sz="0" w:space="0" w:color="auto"/>
          </w:divBdr>
          <w:divsChild>
            <w:div w:id="991106591">
              <w:marLeft w:val="2250"/>
              <w:marRight w:val="2250"/>
              <w:marTop w:val="75"/>
              <w:marBottom w:val="210"/>
              <w:divBdr>
                <w:top w:val="none" w:sz="0" w:space="0" w:color="auto"/>
                <w:left w:val="none" w:sz="0" w:space="0" w:color="auto"/>
                <w:bottom w:val="none" w:sz="0" w:space="0" w:color="auto"/>
                <w:right w:val="none" w:sz="0" w:space="0" w:color="auto"/>
              </w:divBdr>
            </w:div>
            <w:div w:id="707409161">
              <w:marLeft w:val="2250"/>
              <w:marRight w:val="2250"/>
              <w:marTop w:val="75"/>
              <w:marBottom w:val="210"/>
              <w:divBdr>
                <w:top w:val="none" w:sz="0" w:space="0" w:color="auto"/>
                <w:left w:val="none" w:sz="0" w:space="0" w:color="auto"/>
                <w:bottom w:val="none" w:sz="0" w:space="0" w:color="auto"/>
                <w:right w:val="none" w:sz="0" w:space="0" w:color="auto"/>
              </w:divBdr>
            </w:div>
          </w:divsChild>
        </w:div>
      </w:divsChild>
    </w:div>
    <w:div w:id="1506742820">
      <w:bodyDiv w:val="1"/>
      <w:marLeft w:val="0"/>
      <w:marRight w:val="0"/>
      <w:marTop w:val="0"/>
      <w:marBottom w:val="0"/>
      <w:divBdr>
        <w:top w:val="none" w:sz="0" w:space="0" w:color="auto"/>
        <w:left w:val="none" w:sz="0" w:space="0" w:color="auto"/>
        <w:bottom w:val="none" w:sz="0" w:space="0" w:color="auto"/>
        <w:right w:val="none" w:sz="0" w:space="0" w:color="auto"/>
      </w:divBdr>
      <w:divsChild>
        <w:div w:id="675033728">
          <w:marLeft w:val="0"/>
          <w:marRight w:val="0"/>
          <w:marTop w:val="0"/>
          <w:marBottom w:val="0"/>
          <w:divBdr>
            <w:top w:val="none" w:sz="0" w:space="0" w:color="auto"/>
            <w:left w:val="none" w:sz="0" w:space="0" w:color="auto"/>
            <w:bottom w:val="none" w:sz="0" w:space="0" w:color="auto"/>
            <w:right w:val="none" w:sz="0" w:space="0" w:color="auto"/>
          </w:divBdr>
        </w:div>
        <w:div w:id="2006123806">
          <w:marLeft w:val="0"/>
          <w:marRight w:val="0"/>
          <w:marTop w:val="0"/>
          <w:marBottom w:val="0"/>
          <w:divBdr>
            <w:top w:val="none" w:sz="0" w:space="0" w:color="auto"/>
            <w:left w:val="none" w:sz="0" w:space="0" w:color="auto"/>
            <w:bottom w:val="none" w:sz="0" w:space="0" w:color="auto"/>
            <w:right w:val="none" w:sz="0" w:space="0" w:color="auto"/>
          </w:divBdr>
        </w:div>
      </w:divsChild>
    </w:div>
    <w:div w:id="1567914845">
      <w:bodyDiv w:val="1"/>
      <w:marLeft w:val="0"/>
      <w:marRight w:val="0"/>
      <w:marTop w:val="0"/>
      <w:marBottom w:val="0"/>
      <w:divBdr>
        <w:top w:val="none" w:sz="0" w:space="0" w:color="auto"/>
        <w:left w:val="none" w:sz="0" w:space="0" w:color="auto"/>
        <w:bottom w:val="none" w:sz="0" w:space="0" w:color="auto"/>
        <w:right w:val="none" w:sz="0" w:space="0" w:color="auto"/>
      </w:divBdr>
      <w:divsChild>
        <w:div w:id="1801650409">
          <w:marLeft w:val="0"/>
          <w:marRight w:val="0"/>
          <w:marTop w:val="0"/>
          <w:marBottom w:val="0"/>
          <w:divBdr>
            <w:top w:val="none" w:sz="0" w:space="0" w:color="auto"/>
            <w:left w:val="none" w:sz="0" w:space="0" w:color="auto"/>
            <w:bottom w:val="none" w:sz="0" w:space="0" w:color="auto"/>
            <w:right w:val="none" w:sz="0" w:space="0" w:color="auto"/>
          </w:divBdr>
        </w:div>
        <w:div w:id="552156670">
          <w:marLeft w:val="0"/>
          <w:marRight w:val="0"/>
          <w:marTop w:val="0"/>
          <w:marBottom w:val="0"/>
          <w:divBdr>
            <w:top w:val="none" w:sz="0" w:space="0" w:color="auto"/>
            <w:left w:val="none" w:sz="0" w:space="0" w:color="auto"/>
            <w:bottom w:val="none" w:sz="0" w:space="0" w:color="auto"/>
            <w:right w:val="none" w:sz="0" w:space="0" w:color="auto"/>
          </w:divBdr>
          <w:divsChild>
            <w:div w:id="1428189519">
              <w:marLeft w:val="0"/>
              <w:marRight w:val="0"/>
              <w:marTop w:val="0"/>
              <w:marBottom w:val="180"/>
              <w:divBdr>
                <w:top w:val="none" w:sz="0" w:space="0" w:color="auto"/>
                <w:left w:val="none" w:sz="0" w:space="0" w:color="auto"/>
                <w:bottom w:val="none" w:sz="0" w:space="0" w:color="auto"/>
                <w:right w:val="none" w:sz="0" w:space="0" w:color="auto"/>
              </w:divBdr>
              <w:divsChild>
                <w:div w:id="2091466789">
                  <w:marLeft w:val="0"/>
                  <w:marRight w:val="0"/>
                  <w:marTop w:val="0"/>
                  <w:marBottom w:val="180"/>
                  <w:divBdr>
                    <w:top w:val="none" w:sz="0" w:space="0" w:color="auto"/>
                    <w:left w:val="none" w:sz="0" w:space="0" w:color="auto"/>
                    <w:bottom w:val="none" w:sz="0" w:space="0" w:color="auto"/>
                    <w:right w:val="none" w:sz="0" w:space="0" w:color="auto"/>
                  </w:divBdr>
                  <w:divsChild>
                    <w:div w:id="1266770200">
                      <w:marLeft w:val="0"/>
                      <w:marRight w:val="0"/>
                      <w:marTop w:val="0"/>
                      <w:marBottom w:val="180"/>
                      <w:divBdr>
                        <w:top w:val="none" w:sz="0" w:space="0" w:color="auto"/>
                        <w:left w:val="none" w:sz="0" w:space="0" w:color="auto"/>
                        <w:bottom w:val="none" w:sz="0" w:space="0" w:color="auto"/>
                        <w:right w:val="none" w:sz="0" w:space="0" w:color="auto"/>
                      </w:divBdr>
                      <w:divsChild>
                        <w:div w:id="1921214355">
                          <w:marLeft w:val="0"/>
                          <w:marRight w:val="0"/>
                          <w:marTop w:val="0"/>
                          <w:marBottom w:val="150"/>
                          <w:divBdr>
                            <w:top w:val="none" w:sz="0" w:space="0" w:color="auto"/>
                            <w:left w:val="none" w:sz="0" w:space="0" w:color="auto"/>
                            <w:bottom w:val="none" w:sz="0" w:space="0" w:color="auto"/>
                            <w:right w:val="none" w:sz="0" w:space="0" w:color="auto"/>
                          </w:divBdr>
                        </w:div>
                        <w:div w:id="2607271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7669644">
              <w:marLeft w:val="0"/>
              <w:marRight w:val="0"/>
              <w:marTop w:val="0"/>
              <w:marBottom w:val="180"/>
              <w:divBdr>
                <w:top w:val="none" w:sz="0" w:space="0" w:color="auto"/>
                <w:left w:val="none" w:sz="0" w:space="0" w:color="auto"/>
                <w:bottom w:val="none" w:sz="0" w:space="0" w:color="auto"/>
                <w:right w:val="none" w:sz="0" w:space="0" w:color="auto"/>
              </w:divBdr>
              <w:divsChild>
                <w:div w:id="228544438">
                  <w:marLeft w:val="0"/>
                  <w:marRight w:val="0"/>
                  <w:marTop w:val="0"/>
                  <w:marBottom w:val="180"/>
                  <w:divBdr>
                    <w:top w:val="none" w:sz="0" w:space="0" w:color="auto"/>
                    <w:left w:val="none" w:sz="0" w:space="0" w:color="auto"/>
                    <w:bottom w:val="none" w:sz="0" w:space="0" w:color="auto"/>
                    <w:right w:val="none" w:sz="0" w:space="0" w:color="auto"/>
                  </w:divBdr>
                  <w:divsChild>
                    <w:div w:id="1645428537">
                      <w:marLeft w:val="0"/>
                      <w:marRight w:val="0"/>
                      <w:marTop w:val="0"/>
                      <w:marBottom w:val="180"/>
                      <w:divBdr>
                        <w:top w:val="none" w:sz="0" w:space="0" w:color="auto"/>
                        <w:left w:val="none" w:sz="0" w:space="0" w:color="auto"/>
                        <w:bottom w:val="none" w:sz="0" w:space="0" w:color="auto"/>
                        <w:right w:val="none" w:sz="0" w:space="0" w:color="auto"/>
                      </w:divBdr>
                      <w:divsChild>
                        <w:div w:id="2136092742">
                          <w:marLeft w:val="0"/>
                          <w:marRight w:val="0"/>
                          <w:marTop w:val="0"/>
                          <w:marBottom w:val="150"/>
                          <w:divBdr>
                            <w:top w:val="none" w:sz="0" w:space="0" w:color="auto"/>
                            <w:left w:val="none" w:sz="0" w:space="0" w:color="auto"/>
                            <w:bottom w:val="none" w:sz="0" w:space="0" w:color="auto"/>
                            <w:right w:val="none" w:sz="0" w:space="0" w:color="auto"/>
                          </w:divBdr>
                        </w:div>
                        <w:div w:id="1736147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1822959982">
      <w:bodyDiv w:val="1"/>
      <w:marLeft w:val="0"/>
      <w:marRight w:val="0"/>
      <w:marTop w:val="0"/>
      <w:marBottom w:val="0"/>
      <w:divBdr>
        <w:top w:val="none" w:sz="0" w:space="0" w:color="auto"/>
        <w:left w:val="none" w:sz="0" w:space="0" w:color="auto"/>
        <w:bottom w:val="none" w:sz="0" w:space="0" w:color="auto"/>
        <w:right w:val="none" w:sz="0" w:space="0" w:color="auto"/>
      </w:divBdr>
      <w:divsChild>
        <w:div w:id="2004969634">
          <w:marLeft w:val="0"/>
          <w:marRight w:val="0"/>
          <w:marTop w:val="0"/>
          <w:marBottom w:val="180"/>
          <w:divBdr>
            <w:top w:val="none" w:sz="0" w:space="0" w:color="auto"/>
            <w:left w:val="none" w:sz="0" w:space="0" w:color="auto"/>
            <w:bottom w:val="none" w:sz="0" w:space="0" w:color="auto"/>
            <w:right w:val="none" w:sz="0" w:space="0" w:color="auto"/>
          </w:divBdr>
        </w:div>
        <w:div w:id="127751277">
          <w:marLeft w:val="0"/>
          <w:marRight w:val="0"/>
          <w:marTop w:val="0"/>
          <w:marBottom w:val="1800"/>
          <w:divBdr>
            <w:top w:val="none" w:sz="0" w:space="0" w:color="auto"/>
            <w:left w:val="none" w:sz="0" w:space="0" w:color="auto"/>
            <w:bottom w:val="none" w:sz="0" w:space="0" w:color="auto"/>
            <w:right w:val="none" w:sz="0" w:space="0" w:color="auto"/>
          </w:divBdr>
          <w:divsChild>
            <w:div w:id="776098905">
              <w:marLeft w:val="2250"/>
              <w:marRight w:val="2250"/>
              <w:marTop w:val="75"/>
              <w:marBottom w:val="210"/>
              <w:divBdr>
                <w:top w:val="none" w:sz="0" w:space="0" w:color="auto"/>
                <w:left w:val="none" w:sz="0" w:space="0" w:color="auto"/>
                <w:bottom w:val="none" w:sz="0" w:space="0" w:color="auto"/>
                <w:right w:val="none" w:sz="0" w:space="0" w:color="auto"/>
              </w:divBdr>
            </w:div>
            <w:div w:id="105782112">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788431247">
                  <w:marLeft w:val="-375"/>
                  <w:marRight w:val="0"/>
                  <w:marTop w:val="0"/>
                  <w:marBottom w:val="240"/>
                  <w:divBdr>
                    <w:top w:val="none" w:sz="0" w:space="0" w:color="auto"/>
                    <w:left w:val="none" w:sz="0" w:space="0" w:color="auto"/>
                    <w:bottom w:val="none" w:sz="0" w:space="0" w:color="auto"/>
                    <w:right w:val="none" w:sz="0" w:space="0" w:color="auto"/>
                  </w:divBdr>
                </w:div>
                <w:div w:id="1008288072">
                  <w:marLeft w:val="0"/>
                  <w:marRight w:val="0"/>
                  <w:marTop w:val="0"/>
                  <w:marBottom w:val="0"/>
                  <w:divBdr>
                    <w:top w:val="none" w:sz="0" w:space="0" w:color="auto"/>
                    <w:left w:val="none" w:sz="0" w:space="0" w:color="auto"/>
                    <w:bottom w:val="none" w:sz="0" w:space="0" w:color="auto"/>
                    <w:right w:val="none" w:sz="0" w:space="0" w:color="auto"/>
                  </w:divBdr>
                  <w:divsChild>
                    <w:div w:id="187538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108337">
              <w:marLeft w:val="2250"/>
              <w:marRight w:val="2250"/>
              <w:marTop w:val="75"/>
              <w:marBottom w:val="210"/>
              <w:divBdr>
                <w:top w:val="none" w:sz="0" w:space="0" w:color="auto"/>
                <w:left w:val="none" w:sz="0" w:space="0" w:color="auto"/>
                <w:bottom w:val="none" w:sz="0" w:space="0" w:color="auto"/>
                <w:right w:val="none" w:sz="0" w:space="0" w:color="auto"/>
              </w:divBdr>
            </w:div>
            <w:div w:id="2056196549">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810318443">
                  <w:marLeft w:val="-375"/>
                  <w:marRight w:val="0"/>
                  <w:marTop w:val="0"/>
                  <w:marBottom w:val="240"/>
                  <w:divBdr>
                    <w:top w:val="none" w:sz="0" w:space="0" w:color="auto"/>
                    <w:left w:val="none" w:sz="0" w:space="0" w:color="auto"/>
                    <w:bottom w:val="none" w:sz="0" w:space="0" w:color="auto"/>
                    <w:right w:val="none" w:sz="0" w:space="0" w:color="auto"/>
                  </w:divBdr>
                </w:div>
                <w:div w:id="260141374">
                  <w:marLeft w:val="0"/>
                  <w:marRight w:val="0"/>
                  <w:marTop w:val="0"/>
                  <w:marBottom w:val="0"/>
                  <w:divBdr>
                    <w:top w:val="none" w:sz="0" w:space="0" w:color="auto"/>
                    <w:left w:val="none" w:sz="0" w:space="0" w:color="auto"/>
                    <w:bottom w:val="none" w:sz="0" w:space="0" w:color="auto"/>
                    <w:right w:val="none" w:sz="0" w:space="0" w:color="auto"/>
                  </w:divBdr>
                  <w:divsChild>
                    <w:div w:id="194295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5240">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957643206">
                  <w:marLeft w:val="-375"/>
                  <w:marRight w:val="0"/>
                  <w:marTop w:val="0"/>
                  <w:marBottom w:val="240"/>
                  <w:divBdr>
                    <w:top w:val="none" w:sz="0" w:space="0" w:color="auto"/>
                    <w:left w:val="none" w:sz="0" w:space="0" w:color="auto"/>
                    <w:bottom w:val="none" w:sz="0" w:space="0" w:color="auto"/>
                    <w:right w:val="none" w:sz="0" w:space="0" w:color="auto"/>
                  </w:divBdr>
                </w:div>
                <w:div w:id="1202207041">
                  <w:marLeft w:val="0"/>
                  <w:marRight w:val="0"/>
                  <w:marTop w:val="0"/>
                  <w:marBottom w:val="0"/>
                  <w:divBdr>
                    <w:top w:val="none" w:sz="0" w:space="0" w:color="auto"/>
                    <w:left w:val="none" w:sz="0" w:space="0" w:color="auto"/>
                    <w:bottom w:val="none" w:sz="0" w:space="0" w:color="auto"/>
                    <w:right w:val="none" w:sz="0" w:space="0" w:color="auto"/>
                  </w:divBdr>
                  <w:divsChild>
                    <w:div w:id="431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860331">
              <w:marLeft w:val="2250"/>
              <w:marRight w:val="2250"/>
              <w:marTop w:val="75"/>
              <w:marBottom w:val="210"/>
              <w:divBdr>
                <w:top w:val="none" w:sz="0" w:space="0" w:color="auto"/>
                <w:left w:val="none" w:sz="0" w:space="0" w:color="auto"/>
                <w:bottom w:val="none" w:sz="0" w:space="0" w:color="auto"/>
                <w:right w:val="none" w:sz="0" w:space="0" w:color="auto"/>
              </w:divBdr>
            </w:div>
            <w:div w:id="1316035547">
              <w:marLeft w:val="2250"/>
              <w:marRight w:val="2250"/>
              <w:marTop w:val="75"/>
              <w:marBottom w:val="210"/>
              <w:divBdr>
                <w:top w:val="none" w:sz="0" w:space="0" w:color="auto"/>
                <w:left w:val="none" w:sz="0" w:space="0" w:color="auto"/>
                <w:bottom w:val="none" w:sz="0" w:space="0" w:color="auto"/>
                <w:right w:val="none" w:sz="0" w:space="0" w:color="auto"/>
              </w:divBdr>
            </w:div>
            <w:div w:id="873689329">
              <w:marLeft w:val="2250"/>
              <w:marRight w:val="2250"/>
              <w:marTop w:val="75"/>
              <w:marBottom w:val="210"/>
              <w:divBdr>
                <w:top w:val="none" w:sz="0" w:space="0" w:color="auto"/>
                <w:left w:val="none" w:sz="0" w:space="0" w:color="auto"/>
                <w:bottom w:val="none" w:sz="0" w:space="0" w:color="auto"/>
                <w:right w:val="none" w:sz="0" w:space="0" w:color="auto"/>
              </w:divBdr>
            </w:div>
          </w:divsChild>
        </w:div>
      </w:divsChild>
    </w:div>
    <w:div w:id="1839340809">
      <w:bodyDiv w:val="1"/>
      <w:marLeft w:val="0"/>
      <w:marRight w:val="0"/>
      <w:marTop w:val="0"/>
      <w:marBottom w:val="0"/>
      <w:divBdr>
        <w:top w:val="none" w:sz="0" w:space="0" w:color="auto"/>
        <w:left w:val="none" w:sz="0" w:space="0" w:color="auto"/>
        <w:bottom w:val="none" w:sz="0" w:space="0" w:color="auto"/>
        <w:right w:val="none" w:sz="0" w:space="0" w:color="auto"/>
      </w:divBdr>
      <w:divsChild>
        <w:div w:id="1817186157">
          <w:marLeft w:val="0"/>
          <w:marRight w:val="0"/>
          <w:marTop w:val="0"/>
          <w:marBottom w:val="0"/>
          <w:divBdr>
            <w:top w:val="none" w:sz="0" w:space="0" w:color="auto"/>
            <w:left w:val="none" w:sz="0" w:space="0" w:color="auto"/>
            <w:bottom w:val="none" w:sz="0" w:space="0" w:color="auto"/>
            <w:right w:val="none" w:sz="0" w:space="0" w:color="auto"/>
          </w:divBdr>
        </w:div>
        <w:div w:id="1785078412">
          <w:marLeft w:val="0"/>
          <w:marRight w:val="0"/>
          <w:marTop w:val="0"/>
          <w:marBottom w:val="0"/>
          <w:divBdr>
            <w:top w:val="none" w:sz="0" w:space="0" w:color="auto"/>
            <w:left w:val="none" w:sz="0" w:space="0" w:color="auto"/>
            <w:bottom w:val="none" w:sz="0" w:space="0" w:color="auto"/>
            <w:right w:val="none" w:sz="0" w:space="0" w:color="auto"/>
          </w:divBdr>
          <w:divsChild>
            <w:div w:id="37440921">
              <w:marLeft w:val="0"/>
              <w:marRight w:val="0"/>
              <w:marTop w:val="0"/>
              <w:marBottom w:val="180"/>
              <w:divBdr>
                <w:top w:val="none" w:sz="0" w:space="0" w:color="auto"/>
                <w:left w:val="none" w:sz="0" w:space="0" w:color="auto"/>
                <w:bottom w:val="none" w:sz="0" w:space="0" w:color="auto"/>
                <w:right w:val="none" w:sz="0" w:space="0" w:color="auto"/>
              </w:divBdr>
              <w:divsChild>
                <w:div w:id="1476794450">
                  <w:marLeft w:val="0"/>
                  <w:marRight w:val="0"/>
                  <w:marTop w:val="0"/>
                  <w:marBottom w:val="180"/>
                  <w:divBdr>
                    <w:top w:val="none" w:sz="0" w:space="0" w:color="auto"/>
                    <w:left w:val="none" w:sz="0" w:space="0" w:color="auto"/>
                    <w:bottom w:val="none" w:sz="0" w:space="0" w:color="auto"/>
                    <w:right w:val="none" w:sz="0" w:space="0" w:color="auto"/>
                  </w:divBdr>
                  <w:divsChild>
                    <w:div w:id="430589439">
                      <w:marLeft w:val="0"/>
                      <w:marRight w:val="0"/>
                      <w:marTop w:val="0"/>
                      <w:marBottom w:val="180"/>
                      <w:divBdr>
                        <w:top w:val="none" w:sz="0" w:space="0" w:color="auto"/>
                        <w:left w:val="none" w:sz="0" w:space="0" w:color="auto"/>
                        <w:bottom w:val="none" w:sz="0" w:space="0" w:color="auto"/>
                        <w:right w:val="none" w:sz="0" w:space="0" w:color="auto"/>
                      </w:divBdr>
                      <w:divsChild>
                        <w:div w:id="1504280290">
                          <w:marLeft w:val="0"/>
                          <w:marRight w:val="0"/>
                          <w:marTop w:val="0"/>
                          <w:marBottom w:val="150"/>
                          <w:divBdr>
                            <w:top w:val="none" w:sz="0" w:space="0" w:color="auto"/>
                            <w:left w:val="none" w:sz="0" w:space="0" w:color="auto"/>
                            <w:bottom w:val="none" w:sz="0" w:space="0" w:color="auto"/>
                            <w:right w:val="none" w:sz="0" w:space="0" w:color="auto"/>
                          </w:divBdr>
                        </w:div>
                        <w:div w:id="15799050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35111850">
              <w:marLeft w:val="0"/>
              <w:marRight w:val="0"/>
              <w:marTop w:val="0"/>
              <w:marBottom w:val="180"/>
              <w:divBdr>
                <w:top w:val="none" w:sz="0" w:space="0" w:color="auto"/>
                <w:left w:val="none" w:sz="0" w:space="0" w:color="auto"/>
                <w:bottom w:val="none" w:sz="0" w:space="0" w:color="auto"/>
                <w:right w:val="none" w:sz="0" w:space="0" w:color="auto"/>
              </w:divBdr>
            </w:div>
            <w:div w:id="939528495">
              <w:marLeft w:val="0"/>
              <w:marRight w:val="0"/>
              <w:marTop w:val="0"/>
              <w:marBottom w:val="180"/>
              <w:divBdr>
                <w:top w:val="none" w:sz="0" w:space="0" w:color="auto"/>
                <w:left w:val="none" w:sz="0" w:space="0" w:color="auto"/>
                <w:bottom w:val="none" w:sz="0" w:space="0" w:color="auto"/>
                <w:right w:val="none" w:sz="0" w:space="0" w:color="auto"/>
              </w:divBdr>
              <w:divsChild>
                <w:div w:id="998925240">
                  <w:marLeft w:val="0"/>
                  <w:marRight w:val="0"/>
                  <w:marTop w:val="0"/>
                  <w:marBottom w:val="180"/>
                  <w:divBdr>
                    <w:top w:val="none" w:sz="0" w:space="0" w:color="auto"/>
                    <w:left w:val="none" w:sz="0" w:space="0" w:color="auto"/>
                    <w:bottom w:val="none" w:sz="0" w:space="0" w:color="auto"/>
                    <w:right w:val="none" w:sz="0" w:space="0" w:color="auto"/>
                  </w:divBdr>
                  <w:divsChild>
                    <w:div w:id="1406338950">
                      <w:marLeft w:val="0"/>
                      <w:marRight w:val="0"/>
                      <w:marTop w:val="0"/>
                      <w:marBottom w:val="180"/>
                      <w:divBdr>
                        <w:top w:val="none" w:sz="0" w:space="0" w:color="auto"/>
                        <w:left w:val="none" w:sz="0" w:space="0" w:color="auto"/>
                        <w:bottom w:val="none" w:sz="0" w:space="0" w:color="auto"/>
                        <w:right w:val="none" w:sz="0" w:space="0" w:color="auto"/>
                      </w:divBdr>
                      <w:divsChild>
                        <w:div w:id="502167453">
                          <w:marLeft w:val="0"/>
                          <w:marRight w:val="0"/>
                          <w:marTop w:val="0"/>
                          <w:marBottom w:val="150"/>
                          <w:divBdr>
                            <w:top w:val="none" w:sz="0" w:space="0" w:color="auto"/>
                            <w:left w:val="none" w:sz="0" w:space="0" w:color="auto"/>
                            <w:bottom w:val="none" w:sz="0" w:space="0" w:color="auto"/>
                            <w:right w:val="none" w:sz="0" w:space="0" w:color="auto"/>
                          </w:divBdr>
                        </w:div>
                        <w:div w:id="158217383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068990049">
              <w:marLeft w:val="0"/>
              <w:marRight w:val="0"/>
              <w:marTop w:val="0"/>
              <w:marBottom w:val="180"/>
              <w:divBdr>
                <w:top w:val="none" w:sz="0" w:space="0" w:color="auto"/>
                <w:left w:val="none" w:sz="0" w:space="0" w:color="auto"/>
                <w:bottom w:val="none" w:sz="0" w:space="0" w:color="auto"/>
                <w:right w:val="none" w:sz="0" w:space="0" w:color="auto"/>
              </w:divBdr>
              <w:divsChild>
                <w:div w:id="953366337">
                  <w:marLeft w:val="0"/>
                  <w:marRight w:val="0"/>
                  <w:marTop w:val="0"/>
                  <w:marBottom w:val="180"/>
                  <w:divBdr>
                    <w:top w:val="none" w:sz="0" w:space="0" w:color="auto"/>
                    <w:left w:val="none" w:sz="0" w:space="0" w:color="auto"/>
                    <w:bottom w:val="none" w:sz="0" w:space="0" w:color="auto"/>
                    <w:right w:val="none" w:sz="0" w:space="0" w:color="auto"/>
                  </w:divBdr>
                  <w:divsChild>
                    <w:div w:id="752897464">
                      <w:marLeft w:val="0"/>
                      <w:marRight w:val="0"/>
                      <w:marTop w:val="0"/>
                      <w:marBottom w:val="180"/>
                      <w:divBdr>
                        <w:top w:val="none" w:sz="0" w:space="0" w:color="auto"/>
                        <w:left w:val="none" w:sz="0" w:space="0" w:color="auto"/>
                        <w:bottom w:val="none" w:sz="0" w:space="0" w:color="auto"/>
                        <w:right w:val="none" w:sz="0" w:space="0" w:color="auto"/>
                      </w:divBdr>
                      <w:divsChild>
                        <w:div w:id="937130814">
                          <w:marLeft w:val="0"/>
                          <w:marRight w:val="0"/>
                          <w:marTop w:val="0"/>
                          <w:marBottom w:val="150"/>
                          <w:divBdr>
                            <w:top w:val="none" w:sz="0" w:space="0" w:color="auto"/>
                            <w:left w:val="none" w:sz="0" w:space="0" w:color="auto"/>
                            <w:bottom w:val="none" w:sz="0" w:space="0" w:color="auto"/>
                            <w:right w:val="none" w:sz="0" w:space="0" w:color="auto"/>
                          </w:divBdr>
                        </w:div>
                        <w:div w:id="68486408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2025086546">
      <w:bodyDiv w:val="1"/>
      <w:marLeft w:val="0"/>
      <w:marRight w:val="0"/>
      <w:marTop w:val="0"/>
      <w:marBottom w:val="0"/>
      <w:divBdr>
        <w:top w:val="none" w:sz="0" w:space="0" w:color="auto"/>
        <w:left w:val="none" w:sz="0" w:space="0" w:color="auto"/>
        <w:bottom w:val="none" w:sz="0" w:space="0" w:color="auto"/>
        <w:right w:val="none" w:sz="0" w:space="0" w:color="auto"/>
      </w:divBdr>
      <w:divsChild>
        <w:div w:id="1216968717">
          <w:marLeft w:val="0"/>
          <w:marRight w:val="0"/>
          <w:marTop w:val="0"/>
          <w:marBottom w:val="0"/>
          <w:divBdr>
            <w:top w:val="none" w:sz="0" w:space="0" w:color="auto"/>
            <w:left w:val="none" w:sz="0" w:space="0" w:color="auto"/>
            <w:bottom w:val="none" w:sz="0" w:space="0" w:color="auto"/>
            <w:right w:val="none" w:sz="0" w:space="0" w:color="auto"/>
          </w:divBdr>
        </w:div>
        <w:div w:id="1088503075">
          <w:marLeft w:val="0"/>
          <w:marRight w:val="0"/>
          <w:marTop w:val="0"/>
          <w:marBottom w:val="0"/>
          <w:divBdr>
            <w:top w:val="none" w:sz="0" w:space="0" w:color="auto"/>
            <w:left w:val="none" w:sz="0" w:space="0" w:color="auto"/>
            <w:bottom w:val="none" w:sz="0" w:space="0" w:color="auto"/>
            <w:right w:val="none" w:sz="0" w:space="0" w:color="auto"/>
          </w:divBdr>
          <w:divsChild>
            <w:div w:id="969821458">
              <w:marLeft w:val="0"/>
              <w:marRight w:val="0"/>
              <w:marTop w:val="120"/>
              <w:marBottom w:val="180"/>
              <w:divBdr>
                <w:top w:val="single" w:sz="12" w:space="0" w:color="000000"/>
                <w:left w:val="none" w:sz="0" w:space="0" w:color="auto"/>
                <w:bottom w:val="none" w:sz="0" w:space="0" w:color="auto"/>
                <w:right w:val="none" w:sz="0" w:space="0" w:color="auto"/>
              </w:divBdr>
            </w:div>
          </w:divsChild>
        </w:div>
      </w:divsChild>
    </w:div>
    <w:div w:id="2053536559">
      <w:bodyDiv w:val="1"/>
      <w:marLeft w:val="0"/>
      <w:marRight w:val="0"/>
      <w:marTop w:val="0"/>
      <w:marBottom w:val="0"/>
      <w:divBdr>
        <w:top w:val="none" w:sz="0" w:space="0" w:color="auto"/>
        <w:left w:val="none" w:sz="0" w:space="0" w:color="auto"/>
        <w:bottom w:val="none" w:sz="0" w:space="0" w:color="auto"/>
        <w:right w:val="none" w:sz="0" w:space="0" w:color="auto"/>
      </w:divBdr>
      <w:divsChild>
        <w:div w:id="6249010">
          <w:marLeft w:val="0"/>
          <w:marRight w:val="0"/>
          <w:marTop w:val="0"/>
          <w:marBottom w:val="0"/>
          <w:divBdr>
            <w:top w:val="none" w:sz="0" w:space="0" w:color="auto"/>
            <w:left w:val="none" w:sz="0" w:space="0" w:color="auto"/>
            <w:bottom w:val="none" w:sz="0" w:space="0" w:color="auto"/>
            <w:right w:val="none" w:sz="0" w:space="0" w:color="auto"/>
          </w:divBdr>
        </w:div>
        <w:div w:id="1133015214">
          <w:marLeft w:val="0"/>
          <w:marRight w:val="0"/>
          <w:marTop w:val="0"/>
          <w:marBottom w:val="0"/>
          <w:divBdr>
            <w:top w:val="none" w:sz="0" w:space="0" w:color="auto"/>
            <w:left w:val="none" w:sz="0" w:space="0" w:color="auto"/>
            <w:bottom w:val="none" w:sz="0" w:space="0" w:color="auto"/>
            <w:right w:val="none" w:sz="0" w:space="0" w:color="auto"/>
          </w:divBdr>
          <w:divsChild>
            <w:div w:id="1563443201">
              <w:marLeft w:val="0"/>
              <w:marRight w:val="0"/>
              <w:marTop w:val="0"/>
              <w:marBottom w:val="180"/>
              <w:divBdr>
                <w:top w:val="none" w:sz="0" w:space="0" w:color="auto"/>
                <w:left w:val="none" w:sz="0" w:space="0" w:color="auto"/>
                <w:bottom w:val="none" w:sz="0" w:space="0" w:color="auto"/>
                <w:right w:val="none" w:sz="0" w:space="0" w:color="auto"/>
              </w:divBdr>
            </w:div>
            <w:div w:id="153574143">
              <w:marLeft w:val="0"/>
              <w:marRight w:val="0"/>
              <w:marTop w:val="0"/>
              <w:marBottom w:val="180"/>
              <w:divBdr>
                <w:top w:val="none" w:sz="0" w:space="0" w:color="auto"/>
                <w:left w:val="none" w:sz="0" w:space="0" w:color="auto"/>
                <w:bottom w:val="none" w:sz="0" w:space="0" w:color="auto"/>
                <w:right w:val="none" w:sz="0" w:space="0" w:color="auto"/>
              </w:divBdr>
            </w:div>
            <w:div w:id="28805132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hyperlink" Target="javascript://" TargetMode="External"/><Relationship Id="rId3" Type="http://schemas.openxmlformats.org/officeDocument/2006/relationships/webSettings" Target="webSettings.xml"/><Relationship Id="rId7" Type="http://schemas.openxmlformats.org/officeDocument/2006/relationships/hyperlink" Target="javascript://" TargetMode="External"/><Relationship Id="rId12" Type="http://schemas.openxmlformats.org/officeDocument/2006/relationships/hyperlink" Target="javascript://"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javascript://" TargetMode="External"/><Relationship Id="rId11" Type="http://schemas.openxmlformats.org/officeDocument/2006/relationships/hyperlink" Target="javascript://" TargetMode="External"/><Relationship Id="rId5" Type="http://schemas.openxmlformats.org/officeDocument/2006/relationships/image" Target="media/image1.png"/><Relationship Id="rId15" Type="http://schemas.openxmlformats.org/officeDocument/2006/relationships/hyperlink" Target="javascript://" TargetMode="External"/><Relationship Id="rId10" Type="http://schemas.openxmlformats.org/officeDocument/2006/relationships/hyperlink" Target="javascript://" TargetMode="External"/><Relationship Id="rId4" Type="http://schemas.openxmlformats.org/officeDocument/2006/relationships/hyperlink" Target="javascript://" TargetMode="External"/><Relationship Id="rId9" Type="http://schemas.openxmlformats.org/officeDocument/2006/relationships/hyperlink" Target="javascript://"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7931</Words>
  <Characters>45212</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Washington, Quana</dc:creator>
  <cp:keywords/>
  <dc:description/>
  <cp:lastModifiedBy>Rob London</cp:lastModifiedBy>
  <cp:revision>2</cp:revision>
  <dcterms:created xsi:type="dcterms:W3CDTF">2020-07-11T06:18:00Z</dcterms:created>
  <dcterms:modified xsi:type="dcterms:W3CDTF">2020-07-11T06:18:00Z</dcterms:modified>
</cp:coreProperties>
</file>